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anchor distT="0" distB="0" distL="114300" distR="114300" simplePos="0" relativeHeight="251662336" behindDoc="1" locked="0" layoutInCell="1" allowOverlap="1">
            <wp:simplePos x="0" y="0"/>
            <wp:positionH relativeFrom="column">
              <wp:posOffset>-57150</wp:posOffset>
            </wp:positionH>
            <wp:positionV relativeFrom="paragraph">
              <wp:posOffset>102870</wp:posOffset>
            </wp:positionV>
            <wp:extent cx="5229225" cy="1485900"/>
            <wp:effectExtent l="0" t="0" r="9525" b="0"/>
            <wp:wrapTight wrapText="bothSides">
              <wp:wrapPolygon>
                <wp:start x="0" y="0"/>
                <wp:lineTo x="0" y="21323"/>
                <wp:lineTo x="21561" y="21323"/>
                <wp:lineTo x="21561" y="0"/>
                <wp:lineTo x="0" y="0"/>
              </wp:wrapPolygon>
            </wp:wrapTight>
            <wp:docPr id="11"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IMG_256"/>
                    <pic:cNvPicPr>
                      <a:picLocks noChangeAspect="1"/>
                    </pic:cNvPicPr>
                  </pic:nvPicPr>
                  <pic:blipFill>
                    <a:blip r:embed="rId9"/>
                    <a:stretch>
                      <a:fillRect/>
                    </a:stretch>
                  </pic:blipFill>
                  <pic:spPr>
                    <a:xfrm>
                      <a:off x="0" y="0"/>
                      <a:ext cx="5229225" cy="1485900"/>
                    </a:xfrm>
                    <a:prstGeom prst="rect">
                      <a:avLst/>
                    </a:prstGeom>
                    <a:noFill/>
                    <a:ln w="9525">
                      <a:noFill/>
                    </a:ln>
                  </pic:spPr>
                </pic:pic>
              </a:graphicData>
            </a:graphic>
          </wp:anchor>
        </w:drawing>
      </w:r>
    </w:p>
    <w:p>
      <w:pPr>
        <w:snapToGrid w:val="0"/>
        <w:spacing w:line="600" w:lineRule="exact"/>
        <w:jc w:val="both"/>
        <w:rPr>
          <w:rFonts w:hint="eastAsia" w:ascii="方正仿宋_GBK" w:eastAsia="方正仿宋_GBK"/>
          <w:b/>
          <w:bCs/>
          <w:sz w:val="32"/>
        </w:rPr>
      </w:pPr>
      <w:r>
        <w:rPr>
          <w:rFonts w:hint="eastAsia" w:ascii="方正仿宋_GBK" w:eastAsia="方正仿宋_GBK"/>
          <w:b/>
          <w:bCs/>
          <w:sz w:val="32"/>
        </w:rPr>
        <w:t>项目名称：重庆银行成都分行远程联网监控中心管理平台</w:t>
      </w:r>
    </w:p>
    <w:p>
      <w:pPr>
        <w:snapToGrid w:val="0"/>
        <w:spacing w:line="600" w:lineRule="exact"/>
        <w:jc w:val="both"/>
        <w:rPr>
          <w:rFonts w:ascii="方正仿宋_GBK" w:eastAsia="方正仿宋_GBK"/>
          <w:b/>
          <w:bCs/>
          <w:sz w:val="32"/>
        </w:rPr>
      </w:pPr>
      <w:r>
        <w:rPr>
          <w:rFonts w:hint="eastAsia" w:ascii="方正仿宋_GBK" w:eastAsia="方正仿宋_GBK"/>
          <w:b/>
          <w:bCs/>
          <w:sz w:val="32"/>
          <w:lang w:val="en-US" w:eastAsia="zh-CN"/>
        </w:rPr>
        <w:t xml:space="preserve">          </w:t>
      </w:r>
      <w:r>
        <w:rPr>
          <w:rFonts w:hint="eastAsia" w:ascii="方正仿宋_GBK" w:eastAsia="方正仿宋_GBK"/>
          <w:b/>
          <w:bCs/>
          <w:sz w:val="32"/>
        </w:rPr>
        <w:t>软硬件改造项目</w:t>
      </w:r>
    </w:p>
    <w:p>
      <w:pPr>
        <w:jc w:val="center"/>
        <w:rPr>
          <w:rFonts w:ascii="方正仿宋_GBK" w:eastAsia="方正仿宋_GBK"/>
          <w:b/>
          <w:bCs/>
          <w:sz w:val="32"/>
        </w:rPr>
      </w:pPr>
    </w:p>
    <w:p>
      <w:pPr>
        <w:widowControl/>
        <w:jc w:val="both"/>
        <w:rPr>
          <w:rFonts w:ascii="方正仿宋_GBK" w:hAnsi="宋体" w:eastAsia="方正仿宋_GBK"/>
          <w:b/>
          <w:bCs/>
          <w:sz w:val="72"/>
          <w:szCs w:val="72"/>
        </w:rPr>
      </w:pPr>
    </w:p>
    <w:p>
      <w:pPr>
        <w:widowControl/>
        <w:jc w:val="center"/>
        <w:rPr>
          <w:rFonts w:hint="eastAsia" w:ascii="方正小标宋_GBK" w:hAnsi="方正小标宋_GBK" w:eastAsia="方正小标宋_GBK" w:cs="方正小标宋_GBK"/>
          <w:b/>
          <w:spacing w:val="100"/>
          <w:kern w:val="0"/>
          <w:sz w:val="72"/>
          <w:szCs w:val="80"/>
        </w:rPr>
      </w:pPr>
      <w:r>
        <w:rPr>
          <w:rFonts w:hint="eastAsia" w:ascii="方正小标宋_GBK" w:hAnsi="方正小标宋_GBK" w:eastAsia="方正小标宋_GBK" w:cs="方正小标宋_GBK"/>
          <w:b/>
          <w:bCs/>
          <w:sz w:val="72"/>
          <w:szCs w:val="80"/>
        </w:rPr>
        <w:t>竞争性磋商文件</w:t>
      </w:r>
    </w:p>
    <w:p>
      <w:pPr>
        <w:jc w:val="center"/>
        <w:rPr>
          <w:rFonts w:ascii="方正仿宋_GBK" w:eastAsia="方正仿宋_GBK"/>
          <w:szCs w:val="21"/>
        </w:rPr>
      </w:pPr>
    </w:p>
    <w:p>
      <w:pPr>
        <w:jc w:val="center"/>
        <w:rPr>
          <w:rFonts w:ascii="方正仿宋_GBK" w:eastAsia="方正仿宋_GBK"/>
          <w:szCs w:val="21"/>
        </w:rPr>
      </w:pPr>
    </w:p>
    <w:p>
      <w:pPr>
        <w:jc w:val="center"/>
        <w:rPr>
          <w:rFonts w:ascii="方正仿宋_GBK" w:eastAsia="方正仿宋_GBK"/>
          <w:szCs w:val="21"/>
        </w:rPr>
      </w:pPr>
    </w:p>
    <w:p>
      <w:pPr>
        <w:jc w:val="center"/>
        <w:rPr>
          <w:rFonts w:ascii="方正仿宋_GBK" w:eastAsia="方正仿宋_GBK"/>
          <w:szCs w:val="21"/>
        </w:rPr>
      </w:pPr>
    </w:p>
    <w:p>
      <w:pPr>
        <w:jc w:val="center"/>
        <w:rPr>
          <w:rFonts w:ascii="方正仿宋_GBK" w:eastAsia="方正仿宋_GBK"/>
          <w:szCs w:val="21"/>
        </w:rPr>
      </w:pPr>
    </w:p>
    <w:p>
      <w:pPr>
        <w:rPr>
          <w:rFonts w:ascii="方正仿宋_GBK" w:hAnsi="宋体" w:eastAsia="方正仿宋_GBK"/>
          <w:sz w:val="28"/>
          <w:szCs w:val="28"/>
        </w:rPr>
      </w:pPr>
      <w:r>
        <w:rPr>
          <w:rFonts w:hint="eastAsia" w:ascii="宋体" w:hAnsi="宋体" w:eastAsia="方正仿宋_GBK"/>
          <w:sz w:val="28"/>
          <w:szCs w:val="28"/>
        </w:rPr>
        <w:t>      </w:t>
      </w:r>
    </w:p>
    <w:p>
      <w:pPr>
        <w:ind w:firstLine="472" w:firstLineChars="147"/>
        <w:rPr>
          <w:rFonts w:ascii="方正仿宋_GBK" w:hAnsi="宋体" w:eastAsia="方正仿宋_GBK"/>
          <w:b/>
          <w:bCs/>
          <w:sz w:val="32"/>
        </w:rPr>
      </w:pPr>
      <w:r>
        <w:rPr>
          <w:rFonts w:hint="eastAsia" w:ascii="方正仿宋_GBK" w:hAnsi="宋体" w:eastAsia="方正仿宋_GBK"/>
          <w:b/>
          <w:bCs/>
          <w:sz w:val="32"/>
        </w:rPr>
        <w:t>采 购 人：重庆银行股份有限公司成都分行(盖章)</w:t>
      </w:r>
    </w:p>
    <w:p>
      <w:pPr>
        <w:jc w:val="center"/>
        <w:rPr>
          <w:rFonts w:ascii="方正仿宋_GBK" w:eastAsia="方正仿宋_GBK"/>
          <w:szCs w:val="21"/>
        </w:rPr>
      </w:pPr>
    </w:p>
    <w:p>
      <w:pPr>
        <w:jc w:val="center"/>
        <w:rPr>
          <w:rFonts w:ascii="方正仿宋_GBK" w:eastAsia="方正仿宋_GBK"/>
          <w:szCs w:val="21"/>
        </w:rPr>
      </w:pPr>
    </w:p>
    <w:p>
      <w:pPr>
        <w:pStyle w:val="18"/>
        <w:rPr>
          <w:rFonts w:hint="eastAsia" w:ascii="方正仿宋_GBK" w:hAnsi="宋体" w:eastAsia="方正仿宋_GBK"/>
          <w:bCs/>
          <w:szCs w:val="24"/>
          <w:lang w:val="en-US" w:eastAsia="zh-CN"/>
        </w:rPr>
        <w:sectPr>
          <w:footerReference r:id="rId3" w:type="even"/>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r>
        <w:rPr>
          <w:rFonts w:hint="eastAsia" w:ascii="方正仿宋_GBK" w:hAnsi="宋体" w:eastAsia="方正仿宋_GBK"/>
          <w:bCs/>
          <w:szCs w:val="24"/>
          <w:lang w:val="en-US" w:eastAsia="zh-CN"/>
        </w:rPr>
        <w:t>二〇二二年八月</w:t>
      </w:r>
    </w:p>
    <w:p>
      <w:pPr>
        <w:pStyle w:val="10"/>
        <w:rPr>
          <w:rFonts w:ascii="方正仿宋_GBK" w:eastAsia="方正仿宋_GBK"/>
          <w:b/>
          <w:bCs/>
          <w:sz w:val="44"/>
          <w:szCs w:val="44"/>
        </w:rPr>
      </w:pPr>
      <w:r>
        <w:rPr>
          <w:rFonts w:hint="eastAsia" w:ascii="方正仿宋_GBK" w:eastAsia="方正仿宋_GBK"/>
          <w:b/>
          <w:bCs/>
          <w:sz w:val="44"/>
          <w:szCs w:val="44"/>
        </w:rPr>
        <w:t>目    录</w:t>
      </w:r>
    </w:p>
    <w:p>
      <w:pPr>
        <w:pStyle w:val="10"/>
        <w:rPr>
          <w:rFonts w:ascii="方正仿宋_GBK" w:eastAsia="方正仿宋_GBK"/>
        </w:rPr>
      </w:pPr>
    </w:p>
    <w:p>
      <w:pPr>
        <w:pStyle w:val="10"/>
        <w:rPr>
          <w:rFonts w:ascii="方正仿宋_GBK" w:hAnsi="Calibri" w:eastAsia="方正仿宋_GBK"/>
          <w:sz w:val="21"/>
          <w:szCs w:val="22"/>
        </w:rPr>
      </w:pPr>
      <w:r>
        <w:rPr>
          <w:rFonts w:hint="eastAsia" w:ascii="方正仿宋_GBK" w:eastAsia="方正仿宋_GBK"/>
          <w:b/>
          <w:bCs/>
        </w:rPr>
        <w:fldChar w:fldCharType="begin"/>
      </w:r>
      <w:r>
        <w:rPr>
          <w:rFonts w:hint="eastAsia" w:ascii="方正仿宋_GBK" w:eastAsia="方正仿宋_GBK"/>
          <w:b/>
          <w:bCs/>
        </w:rPr>
        <w:instrText xml:space="preserve"> TOC \o "1-2" \h \z \u </w:instrText>
      </w:r>
      <w:r>
        <w:rPr>
          <w:rFonts w:hint="eastAsia" w:ascii="方正仿宋_GBK" w:eastAsia="方正仿宋_GBK"/>
          <w:b/>
          <w:bCs/>
        </w:rPr>
        <w:fldChar w:fldCharType="separate"/>
      </w:r>
      <w:r>
        <w:fldChar w:fldCharType="begin"/>
      </w:r>
      <w:r>
        <w:instrText xml:space="preserve"> HYPERLINK \l "_Toc522629842" </w:instrText>
      </w:r>
      <w:r>
        <w:fldChar w:fldCharType="separate"/>
      </w:r>
      <w:r>
        <w:rPr>
          <w:rStyle w:val="14"/>
          <w:rFonts w:hint="eastAsia" w:ascii="方正仿宋_GBK" w:eastAsia="方正仿宋_GBK"/>
        </w:rPr>
        <w:t>第一部分  竞争性磋商邀请函</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_Toc522629842 \h </w:instrText>
      </w:r>
      <w:r>
        <w:rPr>
          <w:rFonts w:hint="eastAsia" w:ascii="方正仿宋_GBK" w:eastAsia="方正仿宋_GBK"/>
        </w:rPr>
        <w:fldChar w:fldCharType="separate"/>
      </w:r>
      <w:r>
        <w:rPr>
          <w:rFonts w:hint="eastAsia" w:ascii="方正仿宋_GBK" w:eastAsia="方正仿宋_GBK"/>
        </w:rPr>
        <w:t>2</w:t>
      </w:r>
      <w:r>
        <w:rPr>
          <w:rFonts w:hint="eastAsia" w:ascii="方正仿宋_GBK" w:eastAsia="方正仿宋_GBK"/>
        </w:rPr>
        <w:fldChar w:fldCharType="end"/>
      </w:r>
      <w:r>
        <w:rPr>
          <w:rFonts w:hint="eastAsia" w:ascii="方正仿宋_GBK" w:eastAsia="方正仿宋_GBK"/>
        </w:rPr>
        <w:fldChar w:fldCharType="end"/>
      </w:r>
    </w:p>
    <w:p>
      <w:pPr>
        <w:pStyle w:val="10"/>
        <w:rPr>
          <w:rFonts w:ascii="方正仿宋_GBK" w:hAnsi="Calibri" w:eastAsia="方正仿宋_GBK"/>
          <w:sz w:val="21"/>
          <w:szCs w:val="22"/>
        </w:rPr>
      </w:pPr>
      <w:r>
        <w:fldChar w:fldCharType="begin"/>
      </w:r>
      <w:r>
        <w:instrText xml:space="preserve"> HYPERLINK \l "_Toc522629843" </w:instrText>
      </w:r>
      <w:r>
        <w:fldChar w:fldCharType="separate"/>
      </w:r>
      <w:r>
        <w:rPr>
          <w:rStyle w:val="14"/>
          <w:rFonts w:hint="eastAsia" w:ascii="方正仿宋_GBK" w:eastAsia="方正仿宋_GBK"/>
        </w:rPr>
        <w:t>第二部分  磋商须知</w:t>
      </w:r>
      <w:r>
        <w:rPr>
          <w:rFonts w:hint="eastAsia" w:ascii="方正仿宋_GBK" w:eastAsia="方正仿宋_GBK"/>
        </w:rPr>
        <w:tab/>
      </w:r>
      <w:r>
        <w:rPr>
          <w:rFonts w:hint="eastAsia" w:ascii="方正仿宋_GBK" w:eastAsia="方正仿宋_GBK"/>
        </w:rPr>
        <w:t>1</w:t>
      </w:r>
      <w:r>
        <w:rPr>
          <w:rFonts w:hint="eastAsia" w:ascii="方正仿宋_GBK" w:eastAsia="方正仿宋_GBK"/>
        </w:rPr>
        <w:fldChar w:fldCharType="end"/>
      </w:r>
      <w:r>
        <w:rPr>
          <w:rFonts w:hint="eastAsia" w:ascii="方正仿宋_GBK" w:eastAsia="方正仿宋_GBK"/>
        </w:rPr>
        <w:t>0</w:t>
      </w:r>
    </w:p>
    <w:p>
      <w:pPr>
        <w:pStyle w:val="10"/>
        <w:rPr>
          <w:rFonts w:ascii="方正仿宋_GBK" w:hAnsi="Calibri" w:eastAsia="方正仿宋_GBK"/>
          <w:sz w:val="21"/>
          <w:szCs w:val="22"/>
        </w:rPr>
      </w:pPr>
      <w:r>
        <w:fldChar w:fldCharType="begin"/>
      </w:r>
      <w:r>
        <w:instrText xml:space="preserve"> HYPERLINK \l "_Toc522629844" </w:instrText>
      </w:r>
      <w:r>
        <w:fldChar w:fldCharType="separate"/>
      </w:r>
      <w:r>
        <w:rPr>
          <w:rStyle w:val="14"/>
          <w:rFonts w:hint="eastAsia" w:ascii="方正仿宋_GBK" w:eastAsia="方正仿宋_GBK"/>
        </w:rPr>
        <w:t>第三部分  服务要求</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_Toc522629844 \h </w:instrText>
      </w:r>
      <w:r>
        <w:rPr>
          <w:rFonts w:hint="eastAsia" w:ascii="方正仿宋_GBK" w:eastAsia="方正仿宋_GBK"/>
        </w:rPr>
        <w:fldChar w:fldCharType="separate"/>
      </w:r>
      <w:r>
        <w:rPr>
          <w:rFonts w:hint="eastAsia" w:ascii="方正仿宋_GBK" w:eastAsia="方正仿宋_GBK"/>
        </w:rPr>
        <w:t>20</w:t>
      </w:r>
      <w:r>
        <w:rPr>
          <w:rFonts w:hint="eastAsia" w:ascii="方正仿宋_GBK" w:eastAsia="方正仿宋_GBK"/>
        </w:rPr>
        <w:fldChar w:fldCharType="end"/>
      </w:r>
      <w:r>
        <w:rPr>
          <w:rFonts w:hint="eastAsia" w:ascii="方正仿宋_GBK" w:eastAsia="方正仿宋_GBK"/>
        </w:rPr>
        <w:fldChar w:fldCharType="end"/>
      </w:r>
    </w:p>
    <w:p>
      <w:pPr>
        <w:pStyle w:val="10"/>
        <w:rPr>
          <w:rFonts w:ascii="方正仿宋_GBK" w:hAnsi="Calibri" w:eastAsia="方正仿宋_GBK"/>
          <w:sz w:val="21"/>
          <w:szCs w:val="22"/>
        </w:rPr>
      </w:pPr>
      <w:r>
        <w:fldChar w:fldCharType="begin"/>
      </w:r>
      <w:r>
        <w:instrText xml:space="preserve"> HYPERLINK \l "_Toc522629845" </w:instrText>
      </w:r>
      <w:r>
        <w:fldChar w:fldCharType="separate"/>
      </w:r>
      <w:r>
        <w:rPr>
          <w:rStyle w:val="14"/>
          <w:rFonts w:hint="eastAsia" w:ascii="方正仿宋_GBK" w:eastAsia="方正仿宋_GBK"/>
        </w:rPr>
        <w:t>第四部分  合同条款（部分）</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_Toc522629845 \h </w:instrText>
      </w:r>
      <w:r>
        <w:rPr>
          <w:rFonts w:hint="eastAsia" w:ascii="方正仿宋_GBK" w:eastAsia="方正仿宋_GBK"/>
        </w:rPr>
        <w:fldChar w:fldCharType="separate"/>
      </w:r>
      <w:r>
        <w:rPr>
          <w:rFonts w:hint="eastAsia" w:ascii="方正仿宋_GBK" w:eastAsia="方正仿宋_GBK"/>
        </w:rPr>
        <w:t>21</w:t>
      </w:r>
      <w:r>
        <w:rPr>
          <w:rFonts w:hint="eastAsia" w:ascii="方正仿宋_GBK" w:eastAsia="方正仿宋_GBK"/>
        </w:rPr>
        <w:fldChar w:fldCharType="end"/>
      </w:r>
      <w:r>
        <w:rPr>
          <w:rFonts w:hint="eastAsia" w:ascii="方正仿宋_GBK" w:eastAsia="方正仿宋_GBK"/>
        </w:rPr>
        <w:fldChar w:fldCharType="end"/>
      </w:r>
    </w:p>
    <w:p>
      <w:pPr>
        <w:pStyle w:val="10"/>
        <w:rPr>
          <w:rFonts w:ascii="方正仿宋_GBK" w:hAnsi="Calibri" w:eastAsia="方正仿宋_GBK"/>
          <w:sz w:val="21"/>
          <w:szCs w:val="22"/>
        </w:rPr>
      </w:pPr>
      <w:r>
        <w:fldChar w:fldCharType="begin"/>
      </w:r>
      <w:r>
        <w:instrText xml:space="preserve"> HYPERLINK \l "_Toc522629846" </w:instrText>
      </w:r>
      <w:r>
        <w:fldChar w:fldCharType="separate"/>
      </w:r>
      <w:r>
        <w:rPr>
          <w:rStyle w:val="14"/>
          <w:rFonts w:hint="eastAsia" w:ascii="方正仿宋_GBK" w:eastAsia="方正仿宋_GBK"/>
        </w:rPr>
        <w:t>第五部分  响应文件格式</w:t>
      </w:r>
      <w:r>
        <w:rPr>
          <w:rFonts w:hint="eastAsia" w:ascii="方正仿宋_GBK" w:eastAsia="方正仿宋_GBK"/>
        </w:rPr>
        <w:tab/>
      </w:r>
      <w:r>
        <w:rPr>
          <w:rFonts w:hint="eastAsia" w:ascii="方正仿宋_GBK" w:eastAsia="方正仿宋_GBK"/>
        </w:rPr>
        <w:t>3</w:t>
      </w:r>
      <w:r>
        <w:rPr>
          <w:rFonts w:hint="eastAsia" w:ascii="方正仿宋_GBK" w:eastAsia="方正仿宋_GBK"/>
        </w:rPr>
        <w:fldChar w:fldCharType="end"/>
      </w:r>
      <w:r>
        <w:rPr>
          <w:rFonts w:hint="eastAsia" w:ascii="方正仿宋_GBK" w:eastAsia="方正仿宋_GBK"/>
          <w:lang w:val="en-US" w:eastAsia="zh-CN"/>
        </w:rPr>
        <w:t>6</w:t>
      </w:r>
    </w:p>
    <w:p>
      <w:pPr>
        <w:pStyle w:val="3"/>
        <w:jc w:val="center"/>
        <w:rPr>
          <w:rFonts w:ascii="方正仿宋_GBK" w:eastAsia="方正仿宋_GBK"/>
          <w:sz w:val="36"/>
          <w:szCs w:val="36"/>
        </w:rPr>
        <w:sectPr>
          <w:footerReference r:id="rId4"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start="1"/>
          <w:cols w:space="720" w:num="1"/>
          <w:docGrid w:type="lines" w:linePitch="312" w:charSpace="0"/>
        </w:sectPr>
      </w:pPr>
      <w:r>
        <w:rPr>
          <w:rFonts w:hint="eastAsia" w:ascii="方正仿宋_GBK" w:eastAsia="方正仿宋_GBK"/>
          <w:szCs w:val="28"/>
        </w:rPr>
        <w:fldChar w:fldCharType="end"/>
      </w:r>
    </w:p>
    <w:p>
      <w:pPr>
        <w:pStyle w:val="3"/>
        <w:spacing w:after="340" w:line="600" w:lineRule="exact"/>
        <w:jc w:val="center"/>
        <w:rPr>
          <w:rFonts w:ascii="方正仿宋_GBK" w:eastAsia="方正仿宋_GBK"/>
          <w:sz w:val="36"/>
          <w:szCs w:val="36"/>
        </w:rPr>
      </w:pPr>
      <w:bookmarkStart w:id="0" w:name="_Toc522629842"/>
      <w:r>
        <w:rPr>
          <w:rFonts w:hint="eastAsia" w:ascii="方正仿宋_GBK" w:eastAsia="方正仿宋_GBK"/>
          <w:sz w:val="36"/>
          <w:szCs w:val="36"/>
        </w:rPr>
        <w:t>第一部分</w:t>
      </w:r>
      <w:r>
        <w:rPr>
          <w:rFonts w:hint="eastAsia" w:eastAsia="方正仿宋_GBK"/>
          <w:sz w:val="36"/>
          <w:szCs w:val="36"/>
        </w:rPr>
        <w:t>  </w:t>
      </w:r>
      <w:r>
        <w:rPr>
          <w:rFonts w:hint="eastAsia" w:ascii="方正仿宋_GBK" w:eastAsia="方正仿宋_GBK"/>
          <w:sz w:val="36"/>
          <w:szCs w:val="36"/>
        </w:rPr>
        <w:t>竞争性磋商邀请函</w:t>
      </w:r>
      <w:bookmarkEnd w:id="0"/>
    </w:p>
    <w:p>
      <w:pPr>
        <w:pStyle w:val="19"/>
        <w:spacing w:before="312" w:beforeLines="100" w:line="600" w:lineRule="exact"/>
        <w:ind w:firstLine="0" w:firstLineChars="0"/>
        <w:rPr>
          <w:rFonts w:ascii="方正仿宋_GBK" w:hAnsi="宋体" w:eastAsia="方正仿宋_GBK"/>
          <w:sz w:val="28"/>
          <w:szCs w:val="28"/>
        </w:rPr>
      </w:pPr>
      <w:r>
        <w:rPr>
          <w:rFonts w:hint="eastAsia" w:ascii="方正仿宋_GBK" w:hAnsi="宋体" w:eastAsia="方正仿宋_GBK"/>
          <w:sz w:val="28"/>
          <w:szCs w:val="28"/>
        </w:rPr>
        <w:t xml:space="preserve">    本项目已由重庆银行股份有限公司成都分行批准实施，采购人为重庆银行股份有限公司成都分行，资金来源自筹，采购预算：</w:t>
      </w:r>
      <w:r>
        <w:rPr>
          <w:rFonts w:hint="eastAsia" w:ascii="方正仿宋_GBK" w:hAnsi="宋体" w:eastAsia="方正仿宋_GBK"/>
          <w:b/>
          <w:bCs/>
          <w:sz w:val="28"/>
          <w:szCs w:val="28"/>
        </w:rPr>
        <w:t>100万元（超此限价作无效报价处理）</w:t>
      </w:r>
      <w:r>
        <w:rPr>
          <w:rFonts w:hint="eastAsia" w:ascii="方正仿宋_GBK" w:hAnsi="宋体" w:eastAsia="方正仿宋_GBK"/>
          <w:sz w:val="28"/>
          <w:szCs w:val="28"/>
        </w:rPr>
        <w:t>，采购资金已落实，项目已具备采购条件。现对该项目进行竞争性磋商采购，共计两轮报价，以第二次报价为最终价格。现邀请贵单位参与本项目报价和磋商。</w:t>
      </w:r>
    </w:p>
    <w:p>
      <w:pPr>
        <w:pStyle w:val="19"/>
        <w:spacing w:line="600" w:lineRule="exact"/>
        <w:ind w:left="560" w:firstLine="0" w:firstLineChars="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一、采购详情</w:t>
      </w:r>
    </w:p>
    <w:p>
      <w:pPr>
        <w:pStyle w:val="19"/>
        <w:spacing w:line="600" w:lineRule="exact"/>
        <w:ind w:left="560" w:firstLine="0" w:firstLineChars="0"/>
        <w:rPr>
          <w:rFonts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（一）项目名称：</w:t>
      </w:r>
    </w:p>
    <w:p>
      <w:pPr>
        <w:pStyle w:val="19"/>
        <w:spacing w:line="600" w:lineRule="exact"/>
        <w:ind w:left="560" w:firstLine="0" w:firstLineChars="0"/>
        <w:rPr>
          <w:rFonts w:ascii="方正仿宋_GBK" w:hAnsi="宋体" w:eastAsia="方正仿宋_GBK"/>
          <w:sz w:val="28"/>
          <w:szCs w:val="28"/>
        </w:rPr>
      </w:pPr>
      <w:r>
        <w:rPr>
          <w:rFonts w:hint="eastAsia" w:ascii="方正仿宋_GBK" w:hAnsi="宋体" w:eastAsia="方正仿宋_GBK"/>
          <w:sz w:val="28"/>
          <w:szCs w:val="28"/>
        </w:rPr>
        <w:t xml:space="preserve">重庆银行成都分行远程联网监控中心管理平台软硬件改造项目  </w:t>
      </w:r>
    </w:p>
    <w:p>
      <w:pPr>
        <w:pStyle w:val="19"/>
        <w:spacing w:line="600" w:lineRule="exact"/>
        <w:ind w:left="560" w:firstLine="0" w:firstLineChars="0"/>
        <w:rPr>
          <w:rFonts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（二）采购范围及服务内容：</w:t>
      </w:r>
    </w:p>
    <w:p>
      <w:pPr>
        <w:pStyle w:val="19"/>
        <w:spacing w:line="600" w:lineRule="exact"/>
        <w:ind w:left="560" w:firstLine="0" w:firstLineChars="0"/>
        <w:rPr>
          <w:rFonts w:ascii="方正仿宋_GBK" w:hAnsi="宋体" w:eastAsia="方正仿宋_GBK"/>
          <w:sz w:val="28"/>
          <w:szCs w:val="28"/>
        </w:rPr>
      </w:pPr>
      <w:r>
        <w:rPr>
          <w:rFonts w:hint="eastAsia" w:ascii="方正仿宋_GBK" w:hAnsi="宋体" w:eastAsia="方正仿宋_GBK"/>
          <w:sz w:val="28"/>
          <w:szCs w:val="28"/>
        </w:rPr>
        <w:t>1. 拆除、更换电视墙；更换高清解码器。</w:t>
      </w:r>
    </w:p>
    <w:p>
      <w:pPr>
        <w:pStyle w:val="19"/>
        <w:spacing w:line="600" w:lineRule="exact"/>
        <w:ind w:left="560" w:firstLine="0" w:firstLineChars="0"/>
        <w:rPr>
          <w:rFonts w:ascii="方正仿宋_GBK" w:hAnsi="宋体" w:eastAsia="方正仿宋_GBK"/>
          <w:sz w:val="28"/>
          <w:szCs w:val="28"/>
        </w:rPr>
      </w:pPr>
      <w:r>
        <w:rPr>
          <w:rFonts w:hint="eastAsia" w:ascii="方正仿宋_GBK" w:hAnsi="宋体" w:eastAsia="方正仿宋_GBK"/>
          <w:sz w:val="28"/>
          <w:szCs w:val="28"/>
        </w:rPr>
        <w:t>2. 安防综合管理平台服务器的更换、安装及调试。</w:t>
      </w:r>
    </w:p>
    <w:p>
      <w:pPr>
        <w:pStyle w:val="19"/>
        <w:spacing w:line="600" w:lineRule="exact"/>
        <w:ind w:left="560" w:firstLine="0" w:firstLineChars="0"/>
        <w:rPr>
          <w:rFonts w:ascii="方正仿宋_GBK" w:hAnsi="宋体" w:eastAsia="方正仿宋_GBK"/>
          <w:spacing w:val="-2"/>
          <w:sz w:val="28"/>
          <w:szCs w:val="28"/>
        </w:rPr>
      </w:pPr>
      <w:r>
        <w:rPr>
          <w:rFonts w:hint="eastAsia" w:ascii="方正仿宋_GBK" w:hAnsi="宋体" w:eastAsia="方正仿宋_GBK"/>
          <w:sz w:val="28"/>
          <w:szCs w:val="28"/>
        </w:rPr>
        <w:t xml:space="preserve">3. </w:t>
      </w:r>
      <w:r>
        <w:rPr>
          <w:rFonts w:hint="eastAsia" w:ascii="方正仿宋_GBK" w:hAnsi="宋体" w:eastAsia="方正仿宋_GBK"/>
          <w:spacing w:val="-2"/>
          <w:sz w:val="28"/>
          <w:szCs w:val="28"/>
        </w:rPr>
        <w:t>更换5台PC机，其中操作台席位上4台，业务规范流程与差错查询1台。</w:t>
      </w:r>
    </w:p>
    <w:p>
      <w:pPr>
        <w:pStyle w:val="19"/>
        <w:spacing w:line="600" w:lineRule="exact"/>
        <w:ind w:left="560" w:firstLine="0" w:firstLineChars="0"/>
        <w:rPr>
          <w:rFonts w:ascii="方正仿宋_GBK" w:hAnsi="宋体" w:eastAsia="方正仿宋_GBK"/>
          <w:sz w:val="28"/>
          <w:szCs w:val="28"/>
        </w:rPr>
      </w:pPr>
      <w:r>
        <w:rPr>
          <w:rFonts w:hint="eastAsia" w:ascii="方正仿宋_GBK" w:hAnsi="宋体" w:eastAsia="方正仿宋_GBK"/>
          <w:sz w:val="28"/>
          <w:szCs w:val="28"/>
        </w:rPr>
        <w:t>4. 更换分行大楼</w:t>
      </w:r>
      <w:r>
        <w:rPr>
          <w:rFonts w:hint="eastAsia" w:ascii="方正仿宋_GBK" w:hAnsi="宋体" w:eastAsia="方正仿宋_GBK"/>
          <w:sz w:val="28"/>
          <w:szCs w:val="28"/>
          <w:lang w:val="en-US" w:eastAsia="zh-CN"/>
        </w:rPr>
        <w:t>11</w:t>
      </w:r>
      <w:r>
        <w:rPr>
          <w:rFonts w:hint="eastAsia" w:ascii="方正仿宋_GBK" w:hAnsi="宋体" w:eastAsia="方正仿宋_GBK"/>
          <w:sz w:val="28"/>
          <w:szCs w:val="28"/>
        </w:rPr>
        <w:t>道门禁系统为人脸识别一体机。（按实际工程量计算）</w:t>
      </w:r>
    </w:p>
    <w:p>
      <w:pPr>
        <w:pStyle w:val="19"/>
        <w:spacing w:line="600" w:lineRule="exact"/>
        <w:ind w:left="560" w:firstLine="0" w:firstLineChars="0"/>
        <w:rPr>
          <w:rFonts w:ascii="方正仿宋_GBK" w:hAnsi="宋体" w:eastAsia="方正仿宋_GBK"/>
          <w:sz w:val="28"/>
          <w:szCs w:val="28"/>
        </w:rPr>
      </w:pPr>
      <w:r>
        <w:rPr>
          <w:rFonts w:hint="eastAsia" w:ascii="方正仿宋_GBK" w:hAnsi="宋体" w:eastAsia="方正仿宋_GBK"/>
          <w:sz w:val="28"/>
          <w:szCs w:val="28"/>
        </w:rPr>
        <w:t>5. 增加</w:t>
      </w:r>
      <w:r>
        <w:rPr>
          <w:rFonts w:hint="eastAsia" w:ascii="方正仿宋_GBK" w:hAnsi="宋体" w:eastAsia="方正仿宋_GBK"/>
          <w:color w:val="000000" w:themeColor="text1"/>
          <w:sz w:val="28"/>
          <w:szCs w:val="28"/>
          <w14:textFill>
            <w14:solidFill>
              <w14:schemeClr w14:val="tx1"/>
            </w14:solidFill>
          </w14:textFill>
        </w:rPr>
        <w:t>13个网点</w:t>
      </w:r>
      <w:r>
        <w:rPr>
          <w:rFonts w:hint="eastAsia" w:ascii="方正仿宋_GBK" w:hAnsi="宋体" w:eastAsia="方正仿宋_GBK"/>
          <w:sz w:val="28"/>
          <w:szCs w:val="28"/>
        </w:rPr>
        <w:t>消防联动模块并调试上传到管理平台。（按实际工程量计算）</w:t>
      </w:r>
    </w:p>
    <w:p>
      <w:pPr>
        <w:pStyle w:val="19"/>
        <w:spacing w:line="600" w:lineRule="exact"/>
        <w:ind w:left="560" w:firstLine="0" w:firstLineChars="0"/>
        <w:rPr>
          <w:rFonts w:ascii="方正仿宋_GBK" w:hAnsi="宋体" w:eastAsia="方正仿宋_GBK"/>
          <w:sz w:val="28"/>
          <w:szCs w:val="28"/>
        </w:rPr>
      </w:pPr>
      <w:r>
        <w:rPr>
          <w:rFonts w:hint="eastAsia" w:ascii="方正仿宋_GBK" w:hAnsi="宋体" w:eastAsia="方正仿宋_GBK"/>
          <w:sz w:val="28"/>
          <w:szCs w:val="28"/>
        </w:rPr>
        <w:t>6. 具体采购范围、服务内容及技术参数详见“本文第五部分 报价明细表”。</w:t>
      </w:r>
    </w:p>
    <w:p>
      <w:pPr>
        <w:pStyle w:val="19"/>
        <w:spacing w:line="600" w:lineRule="exact"/>
        <w:ind w:left="560" w:firstLine="0" w:firstLineChars="0"/>
        <w:rPr>
          <w:rFonts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（三）计划工期：</w:t>
      </w:r>
    </w:p>
    <w:p>
      <w:pPr>
        <w:pStyle w:val="19"/>
        <w:spacing w:line="600" w:lineRule="exact"/>
        <w:ind w:left="560" w:firstLine="0" w:firstLineChars="0"/>
        <w:rPr>
          <w:rFonts w:ascii="方正仿宋_GBK" w:hAnsi="宋体" w:eastAsia="方正仿宋_GBK"/>
          <w:sz w:val="28"/>
          <w:szCs w:val="28"/>
        </w:rPr>
      </w:pPr>
      <w:r>
        <w:rPr>
          <w:rFonts w:hint="eastAsia" w:ascii="方正仿宋_GBK" w:hAnsi="宋体" w:eastAsia="方正仿宋_GBK"/>
          <w:sz w:val="28"/>
          <w:szCs w:val="28"/>
        </w:rPr>
        <w:t>从合同签订及生效之日起60个日历天内。</w:t>
      </w:r>
    </w:p>
    <w:p>
      <w:pPr>
        <w:pStyle w:val="19"/>
        <w:spacing w:line="600" w:lineRule="exact"/>
        <w:ind w:left="560" w:firstLine="0" w:firstLineChars="0"/>
        <w:rPr>
          <w:rFonts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（四）建设地点：</w:t>
      </w:r>
    </w:p>
    <w:p>
      <w:pPr>
        <w:pStyle w:val="19"/>
        <w:spacing w:line="600" w:lineRule="exact"/>
        <w:ind w:firstLine="560"/>
        <w:rPr>
          <w:rFonts w:ascii="方正仿宋_GBK" w:hAnsi="宋体" w:eastAsia="方正仿宋_GBK"/>
          <w:sz w:val="28"/>
          <w:szCs w:val="28"/>
        </w:rPr>
      </w:pPr>
      <w:r>
        <w:rPr>
          <w:rFonts w:hint="eastAsia" w:ascii="方正仿宋_GBK" w:hAnsi="宋体" w:eastAsia="方正仿宋_GBK"/>
          <w:sz w:val="28"/>
          <w:szCs w:val="28"/>
        </w:rPr>
        <w:t>成都分行监控中心、分行大楼、各营业网点等。</w:t>
      </w:r>
    </w:p>
    <w:p>
      <w:pPr>
        <w:pStyle w:val="19"/>
        <w:spacing w:after="156" w:afterLines="50" w:line="600" w:lineRule="exact"/>
        <w:ind w:left="561" w:firstLine="0" w:firstLineChars="0"/>
        <w:rPr>
          <w:rFonts w:ascii="方正仿宋_GBK" w:hAnsi="宋体" w:eastAsia="方正仿宋_GBK"/>
          <w:sz w:val="28"/>
          <w:szCs w:val="28"/>
        </w:rPr>
      </w:pPr>
      <w:r>
        <w:rPr>
          <w:rFonts w:hint="eastAsia" w:ascii="方正仿宋_GBK" w:hAnsi="宋体" w:eastAsia="方正仿宋_GBK"/>
          <w:sz w:val="28"/>
          <w:szCs w:val="28"/>
        </w:rPr>
        <w:t>具体地址见下表：</w:t>
      </w:r>
    </w:p>
    <w:tbl>
      <w:tblPr>
        <w:tblStyle w:val="16"/>
        <w:tblW w:w="96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3543"/>
        <w:gridCol w:w="5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83" w:type="dxa"/>
            <w:shd w:val="clear" w:color="auto" w:fill="F1F1F1" w:themeFill="background1" w:themeFillShade="F2"/>
            <w:vAlign w:val="center"/>
          </w:tcPr>
          <w:p>
            <w:pPr>
              <w:pStyle w:val="19"/>
              <w:spacing w:line="360" w:lineRule="exact"/>
              <w:ind w:firstLine="0" w:firstLineChars="0"/>
              <w:jc w:val="center"/>
              <w:rPr>
                <w:rFonts w:ascii="方正楷体_GBK" w:hAnsi="方正楷体_GBK" w:eastAsia="方正楷体_GBK" w:cs="方正楷体_GBK"/>
                <w:b/>
                <w:sz w:val="24"/>
                <w:szCs w:val="28"/>
              </w:rPr>
            </w:pPr>
            <w:r>
              <w:rPr>
                <w:rFonts w:hint="eastAsia" w:ascii="方正楷体_GBK" w:hAnsi="方正楷体_GBK" w:eastAsia="方正楷体_GBK" w:cs="方正楷体_GBK"/>
                <w:b/>
                <w:sz w:val="24"/>
                <w:szCs w:val="28"/>
              </w:rPr>
              <w:t>序号</w:t>
            </w:r>
          </w:p>
        </w:tc>
        <w:tc>
          <w:tcPr>
            <w:tcW w:w="3543" w:type="dxa"/>
            <w:shd w:val="clear" w:color="auto" w:fill="F1F1F1" w:themeFill="background1" w:themeFillShade="F2"/>
            <w:vAlign w:val="center"/>
          </w:tcPr>
          <w:p>
            <w:pPr>
              <w:pStyle w:val="19"/>
              <w:spacing w:line="360" w:lineRule="exact"/>
              <w:ind w:firstLine="0" w:firstLineChars="0"/>
              <w:jc w:val="center"/>
              <w:rPr>
                <w:rFonts w:ascii="方正楷体_GBK" w:hAnsi="方正楷体_GBK" w:eastAsia="方正楷体_GBK" w:cs="方正楷体_GBK"/>
                <w:b/>
                <w:sz w:val="24"/>
                <w:szCs w:val="28"/>
              </w:rPr>
            </w:pPr>
            <w:r>
              <w:rPr>
                <w:rFonts w:hint="eastAsia" w:ascii="方正楷体_GBK" w:hAnsi="方正楷体_GBK" w:eastAsia="方正楷体_GBK" w:cs="方正楷体_GBK"/>
                <w:b/>
                <w:sz w:val="24"/>
                <w:szCs w:val="28"/>
              </w:rPr>
              <w:t>机构名称</w:t>
            </w:r>
          </w:p>
        </w:tc>
        <w:tc>
          <w:tcPr>
            <w:tcW w:w="5093" w:type="dxa"/>
            <w:shd w:val="clear" w:color="auto" w:fill="F1F1F1" w:themeFill="background1" w:themeFillShade="F2"/>
            <w:vAlign w:val="center"/>
          </w:tcPr>
          <w:p>
            <w:pPr>
              <w:pStyle w:val="19"/>
              <w:spacing w:line="360" w:lineRule="exact"/>
              <w:ind w:firstLine="0" w:firstLineChars="0"/>
              <w:jc w:val="center"/>
              <w:rPr>
                <w:rFonts w:ascii="方正楷体_GBK" w:hAnsi="方正楷体_GBK" w:eastAsia="方正楷体_GBK" w:cs="方正楷体_GBK"/>
                <w:b/>
                <w:sz w:val="24"/>
                <w:szCs w:val="28"/>
              </w:rPr>
            </w:pPr>
            <w:r>
              <w:rPr>
                <w:rFonts w:hint="eastAsia" w:ascii="方正楷体_GBK" w:hAnsi="方正楷体_GBK" w:eastAsia="方正楷体_GBK" w:cs="方正楷体_GBK"/>
                <w:b/>
                <w:sz w:val="24"/>
                <w:szCs w:val="28"/>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83" w:type="dxa"/>
            <w:vAlign w:val="center"/>
          </w:tcPr>
          <w:p>
            <w:pPr>
              <w:pStyle w:val="19"/>
              <w:spacing w:line="36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3543"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重庆银行成都分行（含营业部）</w:t>
            </w:r>
          </w:p>
        </w:tc>
        <w:tc>
          <w:tcPr>
            <w:tcW w:w="5093"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成都市高新区天府二街99号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83" w:type="dxa"/>
            <w:vAlign w:val="center"/>
          </w:tcPr>
          <w:p>
            <w:pPr>
              <w:pStyle w:val="19"/>
              <w:spacing w:line="36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3543"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重</w:t>
            </w:r>
            <w:bookmarkStart w:id="13" w:name="_GoBack"/>
            <w:bookmarkEnd w:id="13"/>
            <w:r>
              <w:rPr>
                <w:rFonts w:hint="eastAsia" w:ascii="方正仿宋_GBK" w:hAnsi="方正仿宋_GBK" w:eastAsia="方正仿宋_GBK" w:cs="方正仿宋_GBK"/>
                <w:color w:val="000000"/>
                <w:spacing w:val="-12"/>
                <w:kern w:val="0"/>
                <w:sz w:val="24"/>
                <w:szCs w:val="24"/>
                <w:lang w:bidi="ar"/>
              </w:rPr>
              <w:t>庆银行乐山分行</w:t>
            </w:r>
          </w:p>
        </w:tc>
        <w:tc>
          <w:tcPr>
            <w:tcW w:w="5093"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乐山市市中区柏杨中路438号—454号（偶数）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83" w:type="dxa"/>
            <w:vAlign w:val="center"/>
          </w:tcPr>
          <w:p>
            <w:pPr>
              <w:pStyle w:val="19"/>
              <w:spacing w:line="36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w:t>
            </w:r>
          </w:p>
        </w:tc>
        <w:tc>
          <w:tcPr>
            <w:tcW w:w="3543"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重庆银行广安分行</w:t>
            </w:r>
          </w:p>
        </w:tc>
        <w:tc>
          <w:tcPr>
            <w:tcW w:w="5093"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广安市广安区承平盛世三期学府路399号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83" w:type="dxa"/>
            <w:vAlign w:val="center"/>
          </w:tcPr>
          <w:p>
            <w:pPr>
              <w:pStyle w:val="19"/>
              <w:spacing w:line="36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w:t>
            </w:r>
          </w:p>
        </w:tc>
        <w:tc>
          <w:tcPr>
            <w:tcW w:w="3543"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重庆银行泸州分行</w:t>
            </w:r>
          </w:p>
        </w:tc>
        <w:tc>
          <w:tcPr>
            <w:tcW w:w="5093"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泸州市江阳区酒城大道三段12号1号楼12号附5号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83" w:type="dxa"/>
            <w:vAlign w:val="center"/>
          </w:tcPr>
          <w:p>
            <w:pPr>
              <w:pStyle w:val="19"/>
              <w:spacing w:line="36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w:t>
            </w:r>
          </w:p>
        </w:tc>
        <w:tc>
          <w:tcPr>
            <w:tcW w:w="3543"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重庆银行宜宾分行</w:t>
            </w:r>
          </w:p>
        </w:tc>
        <w:tc>
          <w:tcPr>
            <w:tcW w:w="5093"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宜宾市叙州区蜀南大道西段15号附1号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83" w:type="dxa"/>
            <w:vAlign w:val="center"/>
          </w:tcPr>
          <w:p>
            <w:pPr>
              <w:pStyle w:val="19"/>
              <w:spacing w:line="36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w:t>
            </w:r>
          </w:p>
        </w:tc>
        <w:tc>
          <w:tcPr>
            <w:tcW w:w="3543"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重庆银行成都锦江支行</w:t>
            </w:r>
          </w:p>
        </w:tc>
        <w:tc>
          <w:tcPr>
            <w:tcW w:w="5093"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成都市锦江区锦华路一段79号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83" w:type="dxa"/>
            <w:vAlign w:val="center"/>
          </w:tcPr>
          <w:p>
            <w:pPr>
              <w:pStyle w:val="19"/>
              <w:spacing w:line="36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7</w:t>
            </w:r>
          </w:p>
        </w:tc>
        <w:tc>
          <w:tcPr>
            <w:tcW w:w="3543"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重庆银行成都金沙支行</w:t>
            </w:r>
          </w:p>
        </w:tc>
        <w:tc>
          <w:tcPr>
            <w:tcW w:w="5093"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成都市青羊区蜀辉路246号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83" w:type="dxa"/>
            <w:vAlign w:val="center"/>
          </w:tcPr>
          <w:p>
            <w:pPr>
              <w:pStyle w:val="19"/>
              <w:spacing w:line="36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8</w:t>
            </w:r>
          </w:p>
        </w:tc>
        <w:tc>
          <w:tcPr>
            <w:tcW w:w="3543"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重庆银行成都崇州支行</w:t>
            </w:r>
          </w:p>
        </w:tc>
        <w:tc>
          <w:tcPr>
            <w:tcW w:w="5093"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成都市崇州市杨祠街357号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83" w:type="dxa"/>
            <w:vAlign w:val="center"/>
          </w:tcPr>
          <w:p>
            <w:pPr>
              <w:pStyle w:val="19"/>
              <w:spacing w:line="36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9</w:t>
            </w:r>
          </w:p>
        </w:tc>
        <w:tc>
          <w:tcPr>
            <w:tcW w:w="3543"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重庆银行成都新都支行</w:t>
            </w:r>
          </w:p>
        </w:tc>
        <w:tc>
          <w:tcPr>
            <w:tcW w:w="5093"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成都市新都区育英路470号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83" w:type="dxa"/>
            <w:vAlign w:val="center"/>
          </w:tcPr>
          <w:p>
            <w:pPr>
              <w:pStyle w:val="19"/>
              <w:spacing w:line="36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w:t>
            </w:r>
          </w:p>
        </w:tc>
        <w:tc>
          <w:tcPr>
            <w:tcW w:w="3543"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重庆银行成都武侯支行</w:t>
            </w:r>
          </w:p>
        </w:tc>
        <w:tc>
          <w:tcPr>
            <w:tcW w:w="5093"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成都市武侯区一环路南四段17号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83" w:type="dxa"/>
            <w:vAlign w:val="center"/>
          </w:tcPr>
          <w:p>
            <w:pPr>
              <w:pStyle w:val="19"/>
              <w:spacing w:line="36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11</w:t>
            </w:r>
          </w:p>
        </w:tc>
        <w:tc>
          <w:tcPr>
            <w:tcW w:w="3543"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重庆银行成都滨江支行</w:t>
            </w:r>
          </w:p>
        </w:tc>
        <w:tc>
          <w:tcPr>
            <w:tcW w:w="5093"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成都市青羊区上池正街65号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83" w:type="dxa"/>
            <w:vAlign w:val="center"/>
          </w:tcPr>
          <w:p>
            <w:pPr>
              <w:pStyle w:val="19"/>
              <w:spacing w:line="36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12</w:t>
            </w:r>
          </w:p>
        </w:tc>
        <w:tc>
          <w:tcPr>
            <w:tcW w:w="3543"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重庆银行成都经开区支行</w:t>
            </w:r>
          </w:p>
        </w:tc>
        <w:tc>
          <w:tcPr>
            <w:tcW w:w="5093"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成都市龙泉驿区北泉路620号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83" w:type="dxa"/>
            <w:vAlign w:val="center"/>
          </w:tcPr>
          <w:p>
            <w:pPr>
              <w:pStyle w:val="19"/>
              <w:spacing w:line="36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13</w:t>
            </w:r>
          </w:p>
        </w:tc>
        <w:tc>
          <w:tcPr>
            <w:tcW w:w="3543"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重庆银行成都科华支行</w:t>
            </w:r>
          </w:p>
        </w:tc>
        <w:tc>
          <w:tcPr>
            <w:tcW w:w="5093"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成都市武侯区金履二路337号</w:t>
            </w:r>
          </w:p>
        </w:tc>
      </w:tr>
    </w:tbl>
    <w:p>
      <w:pPr>
        <w:pStyle w:val="19"/>
        <w:spacing w:before="156" w:beforeLines="50" w:line="600" w:lineRule="exact"/>
        <w:ind w:left="561" w:firstLine="0" w:firstLineChars="0"/>
        <w:rPr>
          <w:rFonts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（五）质量要求：</w:t>
      </w:r>
    </w:p>
    <w:p>
      <w:pPr>
        <w:pStyle w:val="19"/>
        <w:spacing w:line="600" w:lineRule="exact"/>
        <w:ind w:left="560" w:firstLine="0" w:firstLineChars="0"/>
        <w:rPr>
          <w:rFonts w:ascii="方正仿宋_GBK" w:hAnsi="宋体" w:eastAsia="方正仿宋_GBK"/>
          <w:sz w:val="28"/>
          <w:szCs w:val="28"/>
        </w:rPr>
      </w:pPr>
      <w:r>
        <w:rPr>
          <w:rFonts w:hint="eastAsia" w:ascii="方正仿宋_GBK" w:hAnsi="宋体" w:eastAsia="方正仿宋_GBK"/>
          <w:sz w:val="28"/>
          <w:szCs w:val="28"/>
        </w:rPr>
        <w:t>1. 改造内容</w:t>
      </w:r>
    </w:p>
    <w:p>
      <w:pPr>
        <w:pStyle w:val="19"/>
        <w:spacing w:line="600" w:lineRule="exact"/>
        <w:ind w:firstLine="0" w:firstLineChars="0"/>
        <w:rPr>
          <w:rFonts w:ascii="方正仿宋_GBK" w:hAnsi="宋体" w:eastAsia="方正仿宋_GBK"/>
          <w:sz w:val="28"/>
          <w:szCs w:val="28"/>
        </w:rPr>
      </w:pPr>
      <w:r>
        <w:rPr>
          <w:rFonts w:hint="eastAsia" w:ascii="方正仿宋_GBK" w:hAnsi="宋体" w:eastAsia="方正仿宋_GBK"/>
          <w:sz w:val="28"/>
          <w:szCs w:val="28"/>
        </w:rPr>
        <w:t xml:space="preserve">    本次综合管理平台软硬件改造项目的建设内容涵盖成都分行监控中心、分行大楼、各营业网点等。其中监控中心改造内容包括电视墙的拆除与更换、高清解码器的更换、PC机更换、安防综合管理平台服务器的安装更换与调试；前端设备改造内容包括人脸识别一体机的更换、消防联动模块的安装调试等，所有前端设备通过专用网络传输至监控中心进行统一管理。</w:t>
      </w:r>
    </w:p>
    <w:p>
      <w:pPr>
        <w:pStyle w:val="19"/>
        <w:spacing w:line="600" w:lineRule="exact"/>
        <w:ind w:firstLine="560"/>
        <w:rPr>
          <w:rFonts w:ascii="方正仿宋_GBK" w:hAnsi="宋体" w:eastAsia="方正仿宋_GBK"/>
          <w:sz w:val="28"/>
          <w:szCs w:val="28"/>
        </w:rPr>
      </w:pPr>
      <w:r>
        <w:rPr>
          <w:rFonts w:hint="eastAsia" w:ascii="方正仿宋_GBK" w:hAnsi="宋体" w:eastAsia="方正仿宋_GBK"/>
          <w:sz w:val="28"/>
          <w:szCs w:val="28"/>
        </w:rPr>
        <w:t>本项目的软硬件设备建议从以下几个品牌中选取：海康、华为、大华、讯美。</w:t>
      </w:r>
    </w:p>
    <w:p>
      <w:pPr>
        <w:pStyle w:val="19"/>
        <w:spacing w:line="600" w:lineRule="exact"/>
        <w:ind w:left="560" w:firstLine="0" w:firstLineChars="0"/>
        <w:rPr>
          <w:rFonts w:ascii="方正仿宋_GBK" w:hAnsi="宋体" w:eastAsia="方正仿宋_GBK"/>
          <w:sz w:val="28"/>
          <w:szCs w:val="28"/>
        </w:rPr>
      </w:pPr>
      <w:r>
        <w:rPr>
          <w:rFonts w:hint="eastAsia" w:ascii="方正仿宋_GBK" w:hAnsi="宋体" w:eastAsia="方正仿宋_GBK"/>
          <w:sz w:val="28"/>
          <w:szCs w:val="28"/>
        </w:rPr>
        <w:t>2. 应实现的功能</w:t>
      </w:r>
    </w:p>
    <w:p>
      <w:pPr>
        <w:pStyle w:val="19"/>
        <w:spacing w:line="600" w:lineRule="exact"/>
        <w:ind w:firstLine="0" w:firstLineChars="0"/>
        <w:rPr>
          <w:rFonts w:ascii="方正仿宋_GBK" w:hAnsi="宋体" w:eastAsia="方正仿宋_GBK"/>
          <w:sz w:val="28"/>
          <w:szCs w:val="28"/>
        </w:rPr>
      </w:pPr>
      <w:r>
        <w:rPr>
          <w:rFonts w:hint="eastAsia" w:ascii="方正仿宋_GBK" w:hAnsi="宋体" w:eastAsia="方正仿宋_GBK"/>
          <w:sz w:val="28"/>
          <w:szCs w:val="28"/>
        </w:rPr>
        <w:t xml:space="preserve">    改造后的综合安防管理平台是一套“集成化”、“智能化”的平台，应符合《银行安全防范要求》（GA38-2021）第5.17条“安全防范管理平台、联网监控中心、接处警中心应符合GB 50348、GB/T 16676、GB/T 28181、GA 1383的相关规定”的要求。新平台以电子地图为载体，融合各系统能力实现丰富的智能应用。通过接入视频监控、入侵报警、语音对讲、出入口控制、消安一体化等基本系统前端设备，获取边缘节点数据，实现安防信息化的集成与联动。</w:t>
      </w:r>
    </w:p>
    <w:p>
      <w:pPr>
        <w:pStyle w:val="19"/>
        <w:spacing w:line="600" w:lineRule="exact"/>
        <w:ind w:firstLine="0" w:firstLineChars="0"/>
        <w:rPr>
          <w:rFonts w:ascii="方正仿宋_GBK" w:hAnsi="宋体" w:eastAsia="方正仿宋_GBK"/>
          <w:sz w:val="28"/>
          <w:szCs w:val="28"/>
        </w:rPr>
      </w:pPr>
      <w:r>
        <w:rPr>
          <w:rFonts w:hint="eastAsia" w:ascii="方正仿宋_GBK" w:hAnsi="宋体" w:eastAsia="方正仿宋_GBK"/>
          <w:sz w:val="28"/>
          <w:szCs w:val="28"/>
        </w:rPr>
        <w:t xml:space="preserve">    平台设计应基于“统一软件技术架构”的理念，采用业务组件化技术，满足平台在业务上的弹性扩展，适用于金融行业通用综合安防业务，能对各系统资源进行整合和集中管理，实现统一部署、统一配置、统一管理和统一调度。同时应符合《银行安全防范要求》（GA38-2021）第3.21条“对安全防范系统的各子系统及相关信息系统进行集成，实现实体防护系统、电子防护系统和人力防范资源的有机联动……”的要求。因此，</w:t>
      </w:r>
      <w:r>
        <w:rPr>
          <w:rFonts w:hint="eastAsia" w:ascii="方正仿宋_GBK" w:hAnsi="宋体" w:eastAsia="方正仿宋_GBK"/>
          <w:b/>
          <w:bCs/>
          <w:sz w:val="28"/>
          <w:szCs w:val="28"/>
          <w:u w:val="single"/>
        </w:rPr>
        <w:t>需预留安保信息化管理（包括资产管理、检查考核、组织信息管理和合同管理）、智能巡检系统（巡检管理及任务统计）、电子地图、培训考试、行为分析、访客系统、应急管理、交接班、款箱交接、业务库以及防爆安全检查等系统扩展接口</w:t>
      </w:r>
      <w:r>
        <w:rPr>
          <w:rFonts w:hint="eastAsia" w:ascii="方正仿宋_GBK" w:hAnsi="宋体" w:eastAsia="方正仿宋_GBK"/>
          <w:sz w:val="28"/>
          <w:szCs w:val="28"/>
        </w:rPr>
        <w:t>。</w:t>
      </w:r>
    </w:p>
    <w:p>
      <w:pPr>
        <w:pStyle w:val="19"/>
        <w:numPr>
          <w:ilvl w:val="0"/>
          <w:numId w:val="1"/>
        </w:numPr>
        <w:spacing w:line="600" w:lineRule="exact"/>
        <w:ind w:left="560" w:firstLine="0" w:firstLineChars="0"/>
        <w:rPr>
          <w:rFonts w:ascii="方正仿宋_GBK" w:hAnsi="宋体" w:eastAsia="方正仿宋_GBK"/>
          <w:sz w:val="28"/>
          <w:szCs w:val="28"/>
        </w:rPr>
      </w:pPr>
      <w:r>
        <w:rPr>
          <w:rFonts w:hint="eastAsia" w:ascii="方正仿宋_GBK" w:hAnsi="宋体" w:eastAsia="方正仿宋_GBK"/>
          <w:sz w:val="28"/>
          <w:szCs w:val="28"/>
        </w:rPr>
        <w:t>技术参数要求：</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pacing w:val="1"/>
          <w:sz w:val="28"/>
          <w:szCs w:val="28"/>
          <w:lang w:val="ru-RU"/>
        </w:rPr>
        <w:t>中标人所提供货物跟与之相关联的硬件、软件产品（包括杀毒软件）应为原厂、正版产品。出现兼容性问题时，供应商须积极配合，与有关硬件、软件厂商和行方用户接洽，及时定位问题原因、寻求解决方案。</w:t>
      </w:r>
    </w:p>
    <w:p>
      <w:pPr>
        <w:widowControl/>
        <w:spacing w:line="600" w:lineRule="exact"/>
        <w:ind w:firstLine="560" w:firstLineChars="200"/>
        <w:jc w:val="left"/>
        <w:rPr>
          <w:rFonts w:ascii="方正仿宋_GBK" w:hAnsi="方正仿宋_GBK" w:eastAsia="方正仿宋_GBK" w:cs="方正仿宋_GBK"/>
          <w:spacing w:val="1"/>
          <w:sz w:val="28"/>
          <w:szCs w:val="28"/>
          <w:lang w:val="ru-RU"/>
        </w:rPr>
      </w:pPr>
      <w:r>
        <w:rPr>
          <w:rFonts w:hint="eastAsia" w:ascii="方正仿宋_GBK" w:hAnsi="方正仿宋_GBK" w:eastAsia="方正仿宋_GBK" w:cs="方正仿宋_GBK"/>
          <w:sz w:val="28"/>
          <w:szCs w:val="28"/>
        </w:rPr>
        <w:t>（2）供应商</w:t>
      </w:r>
      <w:r>
        <w:rPr>
          <w:rFonts w:hint="eastAsia" w:ascii="方正仿宋_GBK" w:hAnsi="方正仿宋_GBK" w:eastAsia="方正仿宋_GBK" w:cs="方正仿宋_GBK"/>
          <w:spacing w:val="1"/>
          <w:sz w:val="28"/>
          <w:szCs w:val="28"/>
          <w:lang w:val="ru-RU"/>
        </w:rPr>
        <w:t>提供的各项产品设备以及服务必须符合（</w:t>
      </w:r>
      <w:r>
        <w:rPr>
          <w:rFonts w:hint="eastAsia" w:ascii="方正仿宋_GBK" w:hAnsi="宋体" w:eastAsia="方正仿宋_GBK"/>
          <w:sz w:val="28"/>
          <w:szCs w:val="28"/>
        </w:rPr>
        <w:t>GB 50348）、（GB/T 16676）、（GB/T 28181）、（GA 1383）</w:t>
      </w:r>
      <w:r>
        <w:rPr>
          <w:rFonts w:hint="eastAsia" w:ascii="方正仿宋_GBK" w:hAnsi="方正仿宋_GBK" w:eastAsia="方正仿宋_GBK" w:cs="方正仿宋_GBK"/>
          <w:spacing w:val="1"/>
          <w:sz w:val="28"/>
          <w:szCs w:val="28"/>
          <w:lang w:val="ru-RU"/>
        </w:rPr>
        <w:t>、（GA38-20</w:t>
      </w:r>
      <w:r>
        <w:rPr>
          <w:rFonts w:hint="eastAsia" w:ascii="方正仿宋_GBK" w:hAnsi="方正仿宋_GBK" w:eastAsia="方正仿宋_GBK" w:cs="方正仿宋_GBK"/>
          <w:spacing w:val="1"/>
          <w:sz w:val="28"/>
          <w:szCs w:val="28"/>
        </w:rPr>
        <w:t>21</w:t>
      </w:r>
      <w:r>
        <w:rPr>
          <w:rFonts w:hint="eastAsia" w:ascii="方正仿宋_GBK" w:hAnsi="方正仿宋_GBK" w:eastAsia="方正仿宋_GBK" w:cs="方正仿宋_GBK"/>
          <w:spacing w:val="1"/>
          <w:sz w:val="28"/>
          <w:szCs w:val="28"/>
          <w:lang w:val="ru-RU"/>
        </w:rPr>
        <w:t>）等相关国家、地方的法规和行业规范要求。</w:t>
      </w:r>
    </w:p>
    <w:p>
      <w:pPr>
        <w:widowControl/>
        <w:spacing w:line="600" w:lineRule="exact"/>
        <w:ind w:firstLine="564" w:firstLineChars="200"/>
        <w:jc w:val="left"/>
        <w:rPr>
          <w:rFonts w:ascii="方正仿宋_GBK" w:hAnsi="宋体" w:eastAsia="方正仿宋_GBK"/>
          <w:sz w:val="28"/>
          <w:szCs w:val="28"/>
        </w:rPr>
      </w:pPr>
      <w:r>
        <w:rPr>
          <w:rFonts w:hint="eastAsia" w:ascii="方正仿宋_GBK" w:hAnsi="方正仿宋_GBK" w:eastAsia="方正仿宋_GBK" w:cs="方正仿宋_GBK"/>
          <w:spacing w:val="1"/>
          <w:sz w:val="28"/>
          <w:szCs w:val="28"/>
          <w:lang w:val="ru-RU"/>
        </w:rPr>
        <w:t>（3）</w:t>
      </w:r>
      <w:r>
        <w:rPr>
          <w:rFonts w:hint="eastAsia" w:ascii="方正仿宋_GBK" w:hAnsi="方正仿宋_GBK" w:eastAsia="方正仿宋_GBK" w:cs="方正仿宋_GBK"/>
          <w:sz w:val="28"/>
          <w:szCs w:val="28"/>
        </w:rPr>
        <w:t>投标人在本次项目中所</w:t>
      </w:r>
      <w:r>
        <w:rPr>
          <w:rFonts w:hint="eastAsia" w:ascii="方正仿宋_GBK" w:hAnsi="方正仿宋_GBK" w:eastAsia="方正仿宋_GBK" w:cs="方正仿宋_GBK"/>
          <w:spacing w:val="1"/>
          <w:sz w:val="28"/>
          <w:szCs w:val="28"/>
          <w:lang w:val="ru-RU"/>
        </w:rPr>
        <w:t>投标</w:t>
      </w:r>
      <w:r>
        <w:rPr>
          <w:rFonts w:hint="eastAsia" w:ascii="方正仿宋_GBK" w:hAnsi="方正仿宋_GBK" w:eastAsia="方正仿宋_GBK" w:cs="方正仿宋_GBK"/>
          <w:sz w:val="28"/>
          <w:szCs w:val="28"/>
        </w:rPr>
        <w:t>的货物技术参数不得低于本次招标文件对货物技术参数要求，否则否决其投标。</w:t>
      </w:r>
      <w:r>
        <w:rPr>
          <w:rFonts w:hint="eastAsia" w:ascii="方正仿宋_GBK" w:hAnsi="宋体" w:eastAsia="方正仿宋_GBK"/>
          <w:sz w:val="28"/>
          <w:szCs w:val="28"/>
        </w:rPr>
        <w:t xml:space="preserve"> 详见第五部分《报价明细表》。</w:t>
      </w:r>
    </w:p>
    <w:p>
      <w:pPr>
        <w:pStyle w:val="19"/>
        <w:spacing w:line="600" w:lineRule="exact"/>
        <w:ind w:firstLine="0" w:firstLineChars="0"/>
        <w:rPr>
          <w:rFonts w:ascii="方正仿宋_GBK" w:hAnsi="宋体" w:eastAsia="方正仿宋_GBK"/>
          <w:b/>
          <w:color w:val="000000" w:themeColor="text1"/>
          <w:sz w:val="28"/>
          <w:szCs w:val="28"/>
          <w14:textFill>
            <w14:solidFill>
              <w14:schemeClr w14:val="tx1"/>
            </w14:solidFill>
          </w14:textFill>
        </w:rPr>
      </w:pPr>
      <w:r>
        <w:rPr>
          <w:rFonts w:hint="eastAsia" w:ascii="方正仿宋_GBK" w:hAnsi="宋体" w:eastAsia="方正仿宋_GBK"/>
          <w:b/>
          <w:color w:val="000000" w:themeColor="text1"/>
          <w:sz w:val="28"/>
          <w:szCs w:val="28"/>
          <w14:textFill>
            <w14:solidFill>
              <w14:schemeClr w14:val="tx1"/>
            </w14:solidFill>
          </w14:textFill>
        </w:rPr>
        <w:t xml:space="preserve">  </w:t>
      </w:r>
      <w:r>
        <w:rPr>
          <w:rFonts w:hint="eastAsia" w:ascii="方正楷体_GBK" w:hAnsi="方正楷体_GBK" w:eastAsia="方正楷体_GBK" w:cs="方正楷体_GBK"/>
          <w:b/>
          <w:color w:val="000000" w:themeColor="text1"/>
          <w:sz w:val="28"/>
          <w:szCs w:val="28"/>
          <w14:textFill>
            <w14:solidFill>
              <w14:schemeClr w14:val="tx1"/>
            </w14:solidFill>
          </w14:textFill>
        </w:rPr>
        <w:t xml:space="preserve"> （六）质保期：</w:t>
      </w:r>
    </w:p>
    <w:p>
      <w:pPr>
        <w:pStyle w:val="19"/>
        <w:spacing w:line="600" w:lineRule="exact"/>
        <w:ind w:firstLine="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工程免费质保期和工程材料免费质保期为自验收合格之日起</w:t>
      </w:r>
      <w:r>
        <w:rPr>
          <w:rFonts w:hint="eastAsia" w:ascii="方正仿宋_GBK" w:hAnsi="宋体" w:eastAsia="方正仿宋_GBK"/>
          <w:b/>
          <w:bCs/>
          <w:color w:val="000000" w:themeColor="text1"/>
          <w:sz w:val="28"/>
          <w:szCs w:val="28"/>
          <w:u w:val="single"/>
          <w14:textFill>
            <w14:solidFill>
              <w14:schemeClr w14:val="tx1"/>
            </w14:solidFill>
          </w14:textFill>
        </w:rPr>
        <w:t>5年</w:t>
      </w:r>
      <w:r>
        <w:rPr>
          <w:rFonts w:hint="eastAsia" w:ascii="方正仿宋_GBK" w:hAnsi="宋体" w:eastAsia="方正仿宋_GBK"/>
          <w:color w:val="000000" w:themeColor="text1"/>
          <w:sz w:val="28"/>
          <w:szCs w:val="28"/>
          <w14:textFill>
            <w14:solidFill>
              <w14:schemeClr w14:val="tx1"/>
            </w14:solidFill>
          </w14:textFill>
        </w:rPr>
        <w:t>。免费质保期内，中标单位应保证系统设备正常运行(人为破坏设备除外)。</w:t>
      </w:r>
    </w:p>
    <w:p>
      <w:pPr>
        <w:pStyle w:val="19"/>
        <w:spacing w:line="600" w:lineRule="exact"/>
        <w:ind w:firstLine="0" w:firstLineChars="0"/>
        <w:rPr>
          <w:rFonts w:ascii="方正仿宋_GBK" w:hAnsi="宋体" w:eastAsia="方正仿宋_GBK"/>
          <w:b/>
          <w:color w:val="000000" w:themeColor="text1"/>
          <w:sz w:val="28"/>
          <w:szCs w:val="28"/>
          <w14:textFill>
            <w14:solidFill>
              <w14:schemeClr w14:val="tx1"/>
            </w14:solidFill>
          </w14:textFill>
        </w:rPr>
      </w:pPr>
      <w:r>
        <w:rPr>
          <w:rFonts w:hint="eastAsia" w:ascii="方正仿宋_GBK" w:hAnsi="宋体" w:eastAsia="方正仿宋_GBK"/>
          <w:b/>
          <w:color w:val="000000" w:themeColor="text1"/>
          <w:sz w:val="28"/>
          <w:szCs w:val="28"/>
          <w14:textFill>
            <w14:solidFill>
              <w14:schemeClr w14:val="tx1"/>
            </w14:solidFill>
          </w14:textFill>
        </w:rPr>
        <w:t xml:space="preserve">  </w:t>
      </w:r>
      <w:r>
        <w:rPr>
          <w:rFonts w:hint="eastAsia" w:ascii="方正楷体_GBK" w:hAnsi="方正楷体_GBK" w:eastAsia="方正楷体_GBK" w:cs="方正楷体_GBK"/>
          <w:b/>
          <w:color w:val="000000" w:themeColor="text1"/>
          <w:sz w:val="28"/>
          <w:szCs w:val="28"/>
          <w14:textFill>
            <w14:solidFill>
              <w14:schemeClr w14:val="tx1"/>
            </w14:solidFill>
          </w14:textFill>
        </w:rPr>
        <w:t xml:space="preserve"> （七）履约保证金：</w:t>
      </w:r>
    </w:p>
    <w:p>
      <w:pPr>
        <w:pStyle w:val="19"/>
        <w:spacing w:line="600" w:lineRule="exact"/>
        <w:ind w:firstLine="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按中标总报价的</w:t>
      </w:r>
      <w:r>
        <w:rPr>
          <w:rFonts w:ascii="方正仿宋_GBK" w:hAnsi="宋体" w:eastAsia="方正仿宋_GBK"/>
          <w:b/>
          <w:bCs/>
          <w:color w:val="000000" w:themeColor="text1"/>
          <w:sz w:val="28"/>
          <w:szCs w:val="28"/>
          <w:u w:val="single"/>
          <w14:textFill>
            <w14:solidFill>
              <w14:schemeClr w14:val="tx1"/>
            </w14:solidFill>
          </w14:textFill>
        </w:rPr>
        <w:t>3</w:t>
      </w:r>
      <w:r>
        <w:rPr>
          <w:rFonts w:hint="eastAsia" w:ascii="方正仿宋_GBK" w:hAnsi="宋体" w:eastAsia="方正仿宋_GBK"/>
          <w:b/>
          <w:bCs/>
          <w:color w:val="000000" w:themeColor="text1"/>
          <w:sz w:val="28"/>
          <w:szCs w:val="28"/>
          <w:u w:val="single"/>
          <w14:textFill>
            <w14:solidFill>
              <w14:schemeClr w14:val="tx1"/>
            </w14:solidFill>
          </w14:textFill>
        </w:rPr>
        <w:t>%</w:t>
      </w:r>
      <w:r>
        <w:rPr>
          <w:rFonts w:hint="eastAsia" w:ascii="方正仿宋_GBK" w:hAnsi="宋体" w:eastAsia="方正仿宋_GBK"/>
          <w:color w:val="000000" w:themeColor="text1"/>
          <w:sz w:val="28"/>
          <w:szCs w:val="28"/>
          <w14:textFill>
            <w14:solidFill>
              <w14:schemeClr w14:val="tx1"/>
            </w14:solidFill>
          </w14:textFill>
        </w:rPr>
        <w:t>收取。待产品质保期满后退还。</w:t>
      </w:r>
    </w:p>
    <w:p>
      <w:pPr>
        <w:pStyle w:val="19"/>
        <w:spacing w:line="600" w:lineRule="exact"/>
        <w:ind w:firstLine="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w:t>
      </w:r>
      <w:r>
        <w:rPr>
          <w:rFonts w:hint="eastAsia" w:ascii="方正楷体_GBK" w:hAnsi="方正楷体_GBK" w:eastAsia="方正楷体_GBK" w:cs="方正楷体_GBK"/>
          <w:b/>
          <w:color w:val="000000" w:themeColor="text1"/>
          <w:sz w:val="28"/>
          <w:szCs w:val="28"/>
          <w14:textFill>
            <w14:solidFill>
              <w14:schemeClr w14:val="tx1"/>
            </w14:solidFill>
          </w14:textFill>
        </w:rPr>
        <w:t xml:space="preserve">  （八）供应商资格要求：</w:t>
      </w:r>
    </w:p>
    <w:p>
      <w:pPr>
        <w:pStyle w:val="19"/>
        <w:spacing w:line="600" w:lineRule="exact"/>
        <w:ind w:firstLine="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1. 投标人应为独立法人，注册资金不少于1000</w:t>
      </w:r>
      <w:r>
        <w:rPr>
          <w:rFonts w:hint="eastAsia" w:ascii="方正仿宋_GBK" w:hAnsi="宋体" w:eastAsia="方正仿宋_GBK"/>
          <w:color w:val="000000" w:themeColor="text1"/>
          <w:sz w:val="28"/>
          <w:szCs w:val="28"/>
          <w:lang w:val="ru-RU"/>
          <w14:textFill>
            <w14:solidFill>
              <w14:schemeClr w14:val="tx1"/>
            </w14:solidFill>
          </w14:textFill>
        </w:rPr>
        <w:t>万元人民币。</w:t>
      </w:r>
      <w:r>
        <w:rPr>
          <w:rFonts w:hint="eastAsia" w:ascii="方正仿宋_GBK" w:hAnsi="宋体" w:eastAsia="方正仿宋_GBK"/>
          <w:color w:val="000000" w:themeColor="text1"/>
          <w:sz w:val="28"/>
          <w:szCs w:val="28"/>
          <w14:textFill>
            <w14:solidFill>
              <w14:schemeClr w14:val="tx1"/>
            </w14:solidFill>
          </w14:textFill>
        </w:rPr>
        <w:t>提供有效的营业执照复印件并加盖投标人鲜公章。</w:t>
      </w:r>
    </w:p>
    <w:p>
      <w:pPr>
        <w:pStyle w:val="19"/>
        <w:spacing w:line="600" w:lineRule="exact"/>
        <w:ind w:firstLine="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2. 投标人应</w:t>
      </w:r>
      <w:r>
        <w:rPr>
          <w:rFonts w:hint="eastAsia" w:ascii="方正仿宋_GBK" w:hAnsi="宋体" w:eastAsia="方正仿宋_GBK"/>
          <w:color w:val="000000" w:themeColor="text1"/>
          <w:sz w:val="28"/>
          <w:szCs w:val="28"/>
          <w:lang w:val="ru-RU"/>
          <w14:textFill>
            <w14:solidFill>
              <w14:schemeClr w14:val="tx1"/>
            </w14:solidFill>
          </w14:textFill>
        </w:rPr>
        <w:t>具备建设行政主管部门颁发的建筑工程施工总承包三级及以上资质或电子与智能化工程专业承包二级及以上资质，提供有效的资质证书复印件并加盖投标单位鲜公章</w:t>
      </w:r>
      <w:r>
        <w:rPr>
          <w:rFonts w:hint="eastAsia" w:ascii="方正仿宋_GBK" w:hAnsi="宋体" w:eastAsia="方正仿宋_GBK"/>
          <w:color w:val="000000" w:themeColor="text1"/>
          <w:sz w:val="28"/>
          <w:szCs w:val="28"/>
          <w14:textFill>
            <w14:solidFill>
              <w14:schemeClr w14:val="tx1"/>
            </w14:solidFill>
          </w14:textFill>
        </w:rPr>
        <w:t>。</w:t>
      </w:r>
    </w:p>
    <w:p>
      <w:pPr>
        <w:spacing w:line="600" w:lineRule="exact"/>
        <w:rPr>
          <w:rFonts w:ascii="方正仿宋_GBK" w:eastAsia="方正仿宋_GBK"/>
          <w:b/>
          <w:color w:val="000000" w:themeColor="text1"/>
          <w:kern w:val="0"/>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3. </w:t>
      </w:r>
      <w:r>
        <w:rPr>
          <w:rFonts w:hint="eastAsia" w:ascii="方正仿宋_GBK" w:hAnsi="宋体" w:eastAsia="方正仿宋_GBK"/>
          <w:color w:val="000000" w:themeColor="text1"/>
          <w:sz w:val="28"/>
          <w:szCs w:val="28"/>
          <w:lang w:val="ru-RU"/>
          <w14:textFill>
            <w14:solidFill>
              <w14:schemeClr w14:val="tx1"/>
            </w14:solidFill>
          </w14:textFill>
        </w:rPr>
        <w:t>投标人未在“信用中国”网站上被列入失信被执行人和税收违法黑名单，提供承诺函原件。</w:t>
      </w:r>
      <w:r>
        <w:rPr>
          <w:rFonts w:hint="eastAsia" w:ascii="方正仿宋_GBK" w:eastAsia="方正仿宋_GBK"/>
          <w:b/>
          <w:color w:val="000000" w:themeColor="text1"/>
          <w:kern w:val="0"/>
          <w:sz w:val="28"/>
          <w:szCs w:val="28"/>
          <w14:textFill>
            <w14:solidFill>
              <w14:schemeClr w14:val="tx1"/>
            </w14:solidFill>
          </w14:textFill>
        </w:rPr>
        <w:t>且</w:t>
      </w:r>
      <w:r>
        <w:rPr>
          <w:rFonts w:hint="eastAsia" w:ascii="方正仿宋_GBK" w:eastAsia="方正仿宋_GBK"/>
          <w:b/>
          <w:color w:val="000000" w:themeColor="text1"/>
          <w:kern w:val="0"/>
          <w:sz w:val="28"/>
          <w:szCs w:val="28"/>
          <w:lang w:val="ru-RU"/>
          <w14:textFill>
            <w14:solidFill>
              <w14:schemeClr w14:val="tx1"/>
            </w14:solidFill>
          </w14:textFill>
        </w:rPr>
        <w:t>开标当日投标人单独提供一份“信用信息报告”，生成时间为开标当日，下载方式：进入信用中国网站https://www.creditchina.gov.cn/，右上角查询框中输入企业名字查询，在查询结果中找到查询企业，下载信用信息报告（提示：下载的信用信息报告为PDF格式，名称为“法人和非法人组织公共信用信息报告”，右上角有二维码核验码），“信用信息报告”以手持件形式随投标文件在投标截止时间前现场递交（该“信用信息报告”手持件无须装入投标文件中，也无须密封盖章递交），未按上述要求递交“信用信息报告”手持件的，由</w:t>
      </w:r>
      <w:r>
        <w:rPr>
          <w:rFonts w:hint="eastAsia" w:ascii="方正仿宋_GBK" w:eastAsia="方正仿宋_GBK"/>
          <w:b/>
          <w:color w:val="000000" w:themeColor="text1"/>
          <w:kern w:val="0"/>
          <w:sz w:val="28"/>
          <w:szCs w:val="28"/>
          <w14:textFill>
            <w14:solidFill>
              <w14:schemeClr w14:val="tx1"/>
            </w14:solidFill>
          </w14:textFill>
        </w:rPr>
        <w:t>评审</w:t>
      </w:r>
      <w:r>
        <w:rPr>
          <w:rFonts w:hint="eastAsia" w:ascii="方正仿宋_GBK" w:eastAsia="方正仿宋_GBK"/>
          <w:b/>
          <w:color w:val="000000" w:themeColor="text1"/>
          <w:kern w:val="0"/>
          <w:sz w:val="28"/>
          <w:szCs w:val="28"/>
          <w:lang w:val="ru-RU"/>
          <w14:textFill>
            <w14:solidFill>
              <w14:schemeClr w14:val="tx1"/>
            </w14:solidFill>
          </w14:textFill>
        </w:rPr>
        <w:t>委员会按否决投标处理。</w:t>
      </w:r>
    </w:p>
    <w:p>
      <w:pPr>
        <w:spacing w:line="600" w:lineRule="exac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4. 本次采购不接受联合体参与磋商。</w:t>
      </w:r>
    </w:p>
    <w:p>
      <w:pPr>
        <w:spacing w:line="600" w:lineRule="exact"/>
        <w:rPr>
          <w:rFonts w:ascii="方正仿宋_GBK" w:eastAsia="方正仿宋_GBK"/>
          <w:b/>
          <w:color w:val="000000" w:themeColor="text1"/>
          <w:kern w:val="0"/>
          <w:sz w:val="28"/>
          <w:szCs w:val="28"/>
          <w14:textFill>
            <w14:solidFill>
              <w14:schemeClr w14:val="tx1"/>
            </w14:solidFill>
          </w14:textFill>
        </w:rPr>
      </w:pPr>
      <w:r>
        <w:rPr>
          <w:rFonts w:hint="eastAsia" w:ascii="方正仿宋_GBK" w:eastAsia="方正仿宋_GBK"/>
          <w:b/>
          <w:color w:val="000000" w:themeColor="text1"/>
          <w:kern w:val="0"/>
          <w:sz w:val="28"/>
          <w:szCs w:val="28"/>
          <w14:textFill>
            <w14:solidFill>
              <w14:schemeClr w14:val="tx1"/>
            </w14:solidFill>
          </w14:textFill>
        </w:rPr>
        <w:t xml:space="preserve">   温馨提示：以上所有资格条件供应商在响应文件中：必须逐条响应！必须要素齐全！否则废标。</w:t>
      </w:r>
    </w:p>
    <w:p>
      <w:pPr>
        <w:spacing w:line="600" w:lineRule="exact"/>
        <w:ind w:firstLine="562" w:firstLineChars="200"/>
        <w:rPr>
          <w:rFonts w:ascii="方正楷体_GBK" w:hAnsi="方正楷体_GBK" w:eastAsia="方正楷体_GBK" w:cs="方正楷体_GBK"/>
          <w:b/>
          <w:bCs/>
          <w:color w:val="000000" w:themeColor="text1"/>
          <w:sz w:val="28"/>
          <w:szCs w:val="28"/>
          <w14:textFill>
            <w14:solidFill>
              <w14:schemeClr w14:val="tx1"/>
            </w14:solidFill>
          </w14:textFill>
        </w:rPr>
      </w:pPr>
      <w:r>
        <w:rPr>
          <w:rFonts w:hint="eastAsia" w:ascii="方正楷体_GBK" w:hAnsi="方正楷体_GBK" w:eastAsia="方正楷体_GBK" w:cs="方正楷体_GBK"/>
          <w:b/>
          <w:bCs/>
          <w:color w:val="000000" w:themeColor="text1"/>
          <w:sz w:val="28"/>
          <w:szCs w:val="28"/>
          <w14:textFill>
            <w14:solidFill>
              <w14:schemeClr w14:val="tx1"/>
            </w14:solidFill>
          </w14:textFill>
        </w:rPr>
        <w:t>（九）报价要求：</w:t>
      </w:r>
    </w:p>
    <w:p>
      <w:pPr>
        <w:pStyle w:val="19"/>
        <w:spacing w:line="600" w:lineRule="exact"/>
        <w:ind w:firstLine="0" w:firstLineChars="0"/>
        <w:rPr>
          <w:rFonts w:ascii="方正仿宋_GBK" w:hAnsi="宋体" w:eastAsia="方正仿宋_GBK"/>
          <w:b/>
          <w:bCs/>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w:t>
      </w:r>
      <w:r>
        <w:rPr>
          <w:rFonts w:hint="eastAsia" w:ascii="方正仿宋_GBK" w:hAnsi="宋体" w:eastAsia="方正仿宋_GBK"/>
          <w:color w:val="000000" w:themeColor="text1"/>
          <w:sz w:val="28"/>
          <w:szCs w:val="28"/>
          <w:lang w:val="en-US" w:eastAsia="zh-CN"/>
          <w14:textFill>
            <w14:solidFill>
              <w14:schemeClr w14:val="tx1"/>
            </w14:solidFill>
          </w14:textFill>
        </w:rPr>
        <w:t xml:space="preserve">   </w:t>
      </w:r>
      <w:r>
        <w:rPr>
          <w:rFonts w:hint="eastAsia" w:ascii="方正仿宋_GBK" w:hAnsi="宋体" w:eastAsia="方正仿宋_GBK"/>
          <w:color w:val="000000" w:themeColor="text1"/>
          <w:sz w:val="28"/>
          <w:szCs w:val="28"/>
          <w14:textFill>
            <w14:solidFill>
              <w14:schemeClr w14:val="tx1"/>
            </w14:solidFill>
          </w14:textFill>
        </w:rPr>
        <w:t>投标人的投标报价应为完成项目所涉及的一切费用，含检验、运输、拆除安装、调试、测试、检测验收、售后服务、市场物价上涨因素考虑以及税金（含增值税专用发票税金）等所有费用。</w:t>
      </w:r>
      <w:r>
        <w:rPr>
          <w:rFonts w:hint="eastAsia" w:ascii="方正仿宋_GBK" w:hAnsi="宋体" w:eastAsia="方正仿宋_GBK"/>
          <w:b/>
          <w:bCs/>
          <w:color w:val="000000" w:themeColor="text1"/>
          <w:sz w:val="28"/>
          <w:szCs w:val="28"/>
          <w14:textFill>
            <w14:solidFill>
              <w14:schemeClr w14:val="tx1"/>
            </w14:solidFill>
          </w14:textFill>
        </w:rPr>
        <w:t>中标供应商在质保期内须确保我行各网点现有的前端设备无条件无缝免费接入。另外本次报价中应充分考虑质保期内，在实际工作量（以结算单为准）的基础上免费扩容的需求，其中视频路数500路以内、报警路数500路以内、门禁路数100路以内、IP对讲100路以内均应免费扩容。超过以上路数采购人将按内部流程重新采购。</w:t>
      </w:r>
    </w:p>
    <w:p>
      <w:pPr>
        <w:pStyle w:val="19"/>
        <w:spacing w:line="600" w:lineRule="exact"/>
        <w:ind w:firstLine="0" w:firstLineChars="0"/>
        <w:rPr>
          <w:rFonts w:ascii="方正仿宋_GBK" w:hAnsi="宋体" w:eastAsia="方正仿宋_GBK"/>
          <w:b/>
          <w:color w:val="000000" w:themeColor="text1"/>
          <w:sz w:val="28"/>
          <w:szCs w:val="28"/>
          <w14:textFill>
            <w14:solidFill>
              <w14:schemeClr w14:val="tx1"/>
            </w14:solidFill>
          </w14:textFill>
        </w:rPr>
      </w:pPr>
      <w:r>
        <w:rPr>
          <w:rFonts w:hint="eastAsia" w:ascii="方正仿宋_GBK" w:hAnsi="宋体" w:eastAsia="方正仿宋_GBK"/>
          <w:b/>
          <w:color w:val="000000" w:themeColor="text1"/>
          <w:sz w:val="28"/>
          <w:szCs w:val="28"/>
          <w14:textFill>
            <w14:solidFill>
              <w14:schemeClr w14:val="tx1"/>
            </w14:solidFill>
          </w14:textFill>
        </w:rPr>
        <w:t xml:space="preserve">   </w:t>
      </w:r>
      <w:r>
        <w:rPr>
          <w:rFonts w:hint="eastAsia" w:ascii="方正楷体_GBK" w:hAnsi="方正楷体_GBK" w:eastAsia="方正楷体_GBK" w:cs="方正楷体_GBK"/>
          <w:b/>
          <w:color w:val="000000" w:themeColor="text1"/>
          <w:sz w:val="28"/>
          <w:szCs w:val="28"/>
          <w14:textFill>
            <w14:solidFill>
              <w14:schemeClr w14:val="tx1"/>
            </w14:solidFill>
          </w14:textFill>
        </w:rPr>
        <w:t>（十）结算办法：</w:t>
      </w:r>
    </w:p>
    <w:p>
      <w:pPr>
        <w:pStyle w:val="19"/>
        <w:spacing w:line="600" w:lineRule="exact"/>
        <w:ind w:firstLine="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安装调试完毕后，在中标人提供具有专业资质的第三方检测机构</w:t>
      </w:r>
      <w:r>
        <w:rPr>
          <w:rFonts w:hint="eastAsia" w:ascii="方正仿宋_GBK" w:hAnsi="宋体" w:eastAsia="方正仿宋_GBK"/>
          <w:b/>
          <w:bCs/>
          <w:color w:val="000000" w:themeColor="text1"/>
          <w:sz w:val="28"/>
          <w:szCs w:val="28"/>
          <w14:textFill>
            <w14:solidFill>
              <w14:schemeClr w14:val="tx1"/>
            </w14:solidFill>
          </w14:textFill>
        </w:rPr>
        <w:t>{国家安全防范报警系统产品质量监督检验中心（北京）或国家安全防范报警系统产品质量监督检验中心（上海）}</w:t>
      </w:r>
      <w:r>
        <w:rPr>
          <w:rFonts w:hint="eastAsia" w:ascii="方正仿宋_GBK" w:hAnsi="宋体" w:eastAsia="方正仿宋_GBK"/>
          <w:color w:val="000000" w:themeColor="text1"/>
          <w:sz w:val="28"/>
          <w:szCs w:val="28"/>
          <w14:textFill>
            <w14:solidFill>
              <w14:schemeClr w14:val="tx1"/>
            </w14:solidFill>
          </w14:textFill>
        </w:rPr>
        <w:t>出具的检测报告30日内，采购人根据实际工程量结算合同价款。</w:t>
      </w:r>
    </w:p>
    <w:p>
      <w:pPr>
        <w:pStyle w:val="19"/>
        <w:spacing w:line="600" w:lineRule="exact"/>
        <w:ind w:firstLine="0" w:firstLineChars="0"/>
        <w:rPr>
          <w:rFonts w:ascii="方正楷体_GBK" w:hAnsi="方正楷体_GBK" w:eastAsia="方正楷体_GBK" w:cs="方正楷体_GBK"/>
          <w:b/>
          <w:color w:val="000000" w:themeColor="text1"/>
          <w:sz w:val="28"/>
          <w:szCs w:val="28"/>
          <w14:textFill>
            <w14:solidFill>
              <w14:schemeClr w14:val="tx1"/>
            </w14:solidFill>
          </w14:textFill>
        </w:rPr>
      </w:pPr>
      <w:r>
        <w:rPr>
          <w:rFonts w:hint="eastAsia" w:ascii="方正楷体_GBK" w:hAnsi="方正楷体_GBK" w:eastAsia="方正楷体_GBK" w:cs="方正楷体_GBK"/>
          <w:b/>
          <w:color w:val="000000" w:themeColor="text1"/>
          <w:sz w:val="28"/>
          <w:szCs w:val="28"/>
          <w14:textFill>
            <w14:solidFill>
              <w14:schemeClr w14:val="tx1"/>
            </w14:solidFill>
          </w14:textFill>
        </w:rPr>
        <w:t xml:space="preserve">   （十一）其他要求：</w:t>
      </w:r>
    </w:p>
    <w:p>
      <w:pPr>
        <w:pStyle w:val="19"/>
        <w:spacing w:line="600" w:lineRule="exact"/>
        <w:ind w:firstLine="0" w:firstLineChars="0"/>
        <w:rPr>
          <w:rFonts w:ascii="方正仿宋_GBK" w:hAnsi="宋体" w:eastAsia="方正仿宋_GBK"/>
          <w:color w:val="000000" w:themeColor="text1"/>
          <w:sz w:val="28"/>
          <w:szCs w:val="28"/>
          <w14:textFill>
            <w14:solidFill>
              <w14:schemeClr w14:val="tx1"/>
            </w14:solidFill>
          </w14:textFill>
        </w:rPr>
      </w:pPr>
      <w:r>
        <w:rPr>
          <w:rFonts w:hint="eastAsia" w:ascii="方正楷体_GBK" w:hAnsi="方正楷体_GBK" w:eastAsia="方正楷体_GBK" w:cs="方正楷体_GBK"/>
          <w:color w:val="000000" w:themeColor="text1"/>
          <w:sz w:val="28"/>
          <w:szCs w:val="28"/>
          <w14:textFill>
            <w14:solidFill>
              <w14:schemeClr w14:val="tx1"/>
            </w14:solidFill>
          </w14:textFill>
        </w:rPr>
        <w:t xml:space="preserve">    1. </w:t>
      </w:r>
      <w:r>
        <w:rPr>
          <w:rFonts w:hint="eastAsia" w:ascii="方正仿宋_GBK" w:hAnsi="宋体" w:eastAsia="方正仿宋_GBK"/>
          <w:color w:val="000000" w:themeColor="text1"/>
          <w:sz w:val="28"/>
          <w:szCs w:val="28"/>
          <w14:textFill>
            <w14:solidFill>
              <w14:schemeClr w14:val="tx1"/>
            </w14:solidFill>
          </w14:textFill>
        </w:rPr>
        <w:t>因中标人原因造成项目质量不合格，均由中标人负责返工，并承担一切经济损失。</w:t>
      </w:r>
    </w:p>
    <w:p>
      <w:pPr>
        <w:pStyle w:val="19"/>
        <w:spacing w:line="600" w:lineRule="exact"/>
        <w:ind w:firstLine="56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2. </w:t>
      </w:r>
      <w:r>
        <w:rPr>
          <w:rFonts w:hint="eastAsia" w:ascii="方正仿宋_GBK" w:hAnsi="宋体" w:eastAsia="方正仿宋_GBK"/>
          <w:color w:val="000000" w:themeColor="text1"/>
          <w:sz w:val="28"/>
          <w:szCs w:val="28"/>
          <w:lang w:val="ru-RU"/>
          <w14:textFill>
            <w14:solidFill>
              <w14:schemeClr w14:val="tx1"/>
            </w14:solidFill>
          </w14:textFill>
        </w:rPr>
        <w:t>中标人所提供货物跟与之相关联的硬件、软件产品（包括杀毒软件）应为原厂、正版产品。出现兼容性问题时，供应商须积极配合，与有关硬件、软件厂商和行方用户接洽，及时定位问题原因、寻求解决方案。</w:t>
      </w:r>
      <w:r>
        <w:rPr>
          <w:rFonts w:hint="eastAsia" w:ascii="方正仿宋_GBK" w:hAnsi="宋体" w:eastAsia="方正仿宋_GBK"/>
          <w:color w:val="000000" w:themeColor="text1"/>
          <w:sz w:val="28"/>
          <w:szCs w:val="28"/>
          <w14:textFill>
            <w14:solidFill>
              <w14:schemeClr w14:val="tx1"/>
            </w14:solidFill>
          </w14:textFill>
        </w:rPr>
        <w:t xml:space="preserve">   </w:t>
      </w:r>
    </w:p>
    <w:p>
      <w:pPr>
        <w:pStyle w:val="19"/>
        <w:spacing w:line="60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3. 中标人不能在约定的时间内完成工程（非采购人原因引起的），则每延迟一天，处以中标人2000元/天的违约金，并没收履约保证金的10%；如延迟时间超过10天，则没收全部的履约保证金。如逾期超过30天以上，采购人有权终止合同，并根据合同约定方式追究中标人责任。</w:t>
      </w:r>
    </w:p>
    <w:p>
      <w:pPr>
        <w:pStyle w:val="19"/>
        <w:spacing w:line="600" w:lineRule="exact"/>
        <w:ind w:firstLine="57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4. 若中标人出现以次充好或不能在约定时间内完成安装售后服务的情况，采购人有权中止采购合同，并保留采用法律手段追偿的权利。</w:t>
      </w:r>
    </w:p>
    <w:p>
      <w:pPr>
        <w:pStyle w:val="19"/>
        <w:spacing w:line="600" w:lineRule="exact"/>
        <w:ind w:firstLine="0" w:firstLineChars="0"/>
        <w:rPr>
          <w:rFonts w:ascii="方正楷体_GBK" w:hAnsi="方正楷体_GBK" w:eastAsia="方正楷体_GBK" w:cs="方正楷体_GBK"/>
          <w:b/>
          <w:color w:val="000000" w:themeColor="text1"/>
          <w:sz w:val="28"/>
          <w:szCs w:val="28"/>
          <w14:textFill>
            <w14:solidFill>
              <w14:schemeClr w14:val="tx1"/>
            </w14:solidFill>
          </w14:textFill>
        </w:rPr>
      </w:pPr>
      <w:r>
        <w:rPr>
          <w:rFonts w:hint="eastAsia" w:ascii="方正仿宋_GBK" w:hAnsi="宋体" w:eastAsia="方正仿宋_GBK"/>
          <w:b/>
          <w:color w:val="000000" w:themeColor="text1"/>
          <w:sz w:val="28"/>
          <w:szCs w:val="28"/>
          <w14:textFill>
            <w14:solidFill>
              <w14:schemeClr w14:val="tx1"/>
            </w14:solidFill>
          </w14:textFill>
        </w:rPr>
        <w:t xml:space="preserve">   </w:t>
      </w:r>
      <w:r>
        <w:rPr>
          <w:rFonts w:hint="eastAsia" w:ascii="方正楷体_GBK" w:hAnsi="方正楷体_GBK" w:eastAsia="方正楷体_GBK" w:cs="方正楷体_GBK"/>
          <w:b/>
          <w:color w:val="000000" w:themeColor="text1"/>
          <w:sz w:val="28"/>
          <w:szCs w:val="28"/>
          <w14:textFill>
            <w14:solidFill>
              <w14:schemeClr w14:val="tx1"/>
            </w14:solidFill>
          </w14:textFill>
        </w:rPr>
        <w:t>（十二）竣工验收：</w:t>
      </w:r>
    </w:p>
    <w:p>
      <w:pPr>
        <w:pStyle w:val="19"/>
        <w:spacing w:line="600" w:lineRule="exact"/>
        <w:ind w:firstLine="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1. 经采购人认可的第三方检测机构</w:t>
      </w:r>
      <w:r>
        <w:rPr>
          <w:rFonts w:hint="eastAsia" w:ascii="方正仿宋_GBK" w:hAnsi="宋体" w:eastAsia="方正仿宋_GBK"/>
          <w:b/>
          <w:bCs/>
          <w:color w:val="000000" w:themeColor="text1"/>
          <w:sz w:val="28"/>
          <w:szCs w:val="28"/>
          <w14:textFill>
            <w14:solidFill>
              <w14:schemeClr w14:val="tx1"/>
            </w14:solidFill>
          </w14:textFill>
        </w:rPr>
        <w:t>{国家安全防范报警系统产品质量监督检验中心（北京）或国家安全防范报警系统产品质量监督检验中心（上海）}</w:t>
      </w:r>
      <w:r>
        <w:rPr>
          <w:rFonts w:hint="eastAsia" w:ascii="方正仿宋_GBK" w:hAnsi="宋体" w:eastAsia="方正仿宋_GBK"/>
          <w:color w:val="000000" w:themeColor="text1"/>
          <w:sz w:val="28"/>
          <w:szCs w:val="28"/>
          <w14:textFill>
            <w14:solidFill>
              <w14:schemeClr w14:val="tx1"/>
            </w14:solidFill>
          </w14:textFill>
        </w:rPr>
        <w:t>检测合格并出具检测报告后，采购人再对工程进行综合验收。</w:t>
      </w:r>
    </w:p>
    <w:p>
      <w:pPr>
        <w:pStyle w:val="19"/>
        <w:spacing w:line="600" w:lineRule="exact"/>
        <w:ind w:firstLine="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2. 产品的检验和验收依照国家有关标准、规范和行业标准及本次招标技术要求执行。</w:t>
      </w:r>
    </w:p>
    <w:p>
      <w:pPr>
        <w:pStyle w:val="19"/>
        <w:spacing w:line="600" w:lineRule="exact"/>
        <w:ind w:firstLine="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3. 采购人有权随时派出人员对产品生产过程进行抽查和监督，中标人有义务为采购人提供服务。</w:t>
      </w:r>
    </w:p>
    <w:p>
      <w:pPr>
        <w:pStyle w:val="19"/>
        <w:spacing w:line="600" w:lineRule="exact"/>
        <w:ind w:firstLine="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4. 中标人在发货、安装前，应对所有产品进行全面的检验，比如对质量、外观、规格、性能、数量等方面进行详细检测、查验、核对。</w:t>
      </w:r>
    </w:p>
    <w:p>
      <w:pPr>
        <w:pStyle w:val="19"/>
        <w:spacing w:line="600" w:lineRule="exact"/>
        <w:ind w:firstLine="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5. 在质量保修期内，若发现产品质量、规格与合同条款不符，采购人保留向中标人要求赔偿损失的权利。</w:t>
      </w:r>
    </w:p>
    <w:p>
      <w:pPr>
        <w:pStyle w:val="19"/>
        <w:spacing w:line="600" w:lineRule="exact"/>
        <w:ind w:firstLine="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6. 综合验收时，如果出现产品安装质量问题和非采购人造成的损伤，由中标人包换。</w:t>
      </w:r>
    </w:p>
    <w:p>
      <w:pPr>
        <w:pStyle w:val="19"/>
        <w:spacing w:line="600" w:lineRule="exact"/>
        <w:ind w:firstLine="0" w:firstLineChars="0"/>
        <w:rPr>
          <w:rFonts w:ascii="方正楷体_GBK" w:hAnsi="方正楷体_GBK" w:eastAsia="方正楷体_GBK" w:cs="方正楷体_GBK"/>
          <w:b/>
          <w:color w:val="000000" w:themeColor="text1"/>
          <w:sz w:val="28"/>
          <w:szCs w:val="28"/>
          <w14:textFill>
            <w14:solidFill>
              <w14:schemeClr w14:val="tx1"/>
            </w14:solidFill>
          </w14:textFill>
        </w:rPr>
      </w:pPr>
      <w:r>
        <w:rPr>
          <w:rFonts w:hint="eastAsia" w:ascii="方正楷体_GBK" w:hAnsi="方正楷体_GBK" w:eastAsia="方正楷体_GBK" w:cs="方正楷体_GBK"/>
          <w:b/>
          <w:color w:val="000000" w:themeColor="text1"/>
          <w:sz w:val="28"/>
          <w:szCs w:val="28"/>
          <w14:textFill>
            <w14:solidFill>
              <w14:schemeClr w14:val="tx1"/>
            </w14:solidFill>
          </w14:textFill>
        </w:rPr>
        <w:t xml:space="preserve">   （十三）项目配合要求：</w:t>
      </w:r>
    </w:p>
    <w:p>
      <w:pPr>
        <w:pStyle w:val="19"/>
        <w:spacing w:line="600" w:lineRule="exact"/>
        <w:ind w:firstLine="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中标人在工程项目竣工初验后，须提供2周免费的驻场式服务，服务内容包括系统培训、信息录入、支持维护等。待前期准备工作结束，经采购人认可后，进入为期三个月的试运行阶段。如在试运行期间新平台运行正常，且经第三方检测机构</w:t>
      </w:r>
      <w:r>
        <w:rPr>
          <w:rFonts w:hint="eastAsia" w:ascii="方正仿宋_GBK" w:hAnsi="宋体" w:eastAsia="方正仿宋_GBK"/>
          <w:b/>
          <w:bCs/>
          <w:color w:val="000000" w:themeColor="text1"/>
          <w:sz w:val="28"/>
          <w:szCs w:val="28"/>
          <w14:textFill>
            <w14:solidFill>
              <w14:schemeClr w14:val="tx1"/>
            </w14:solidFill>
          </w14:textFill>
        </w:rPr>
        <w:t>{国家安全防范报警系统产品质量监督检验中心（北京）或国家安全防范报警系统产品质量监督检验中心（上海）}</w:t>
      </w:r>
      <w:r>
        <w:rPr>
          <w:rFonts w:hint="eastAsia" w:ascii="方正仿宋_GBK" w:hAnsi="宋体" w:eastAsia="方正仿宋_GBK"/>
          <w:color w:val="000000" w:themeColor="text1"/>
          <w:sz w:val="28"/>
          <w:szCs w:val="28"/>
          <w14:textFill>
            <w14:solidFill>
              <w14:schemeClr w14:val="tx1"/>
            </w14:solidFill>
          </w14:textFill>
        </w:rPr>
        <w:t>正式验收合格并出具检测报告后，方可投入正式运行。另外，在质保期内，中标人须提供不少于每季度一次的功能巡检，并出具巡检报告。</w:t>
      </w:r>
    </w:p>
    <w:p>
      <w:pPr>
        <w:pStyle w:val="19"/>
        <w:spacing w:line="600" w:lineRule="exact"/>
        <w:ind w:firstLine="0" w:firstLineChars="0"/>
        <w:rPr>
          <w:rFonts w:ascii="方正黑体_GBK" w:hAnsi="方正黑体_GBK" w:eastAsia="方正黑体_GBK" w:cs="方正黑体_GBK"/>
          <w:color w:val="000000" w:themeColor="text1"/>
          <w:sz w:val="28"/>
          <w:szCs w:val="28"/>
          <w14:textFill>
            <w14:solidFill>
              <w14:schemeClr w14:val="tx1"/>
            </w14:solidFill>
          </w14:textFill>
        </w:rPr>
      </w:pPr>
      <w:r>
        <w:rPr>
          <w:rFonts w:hint="eastAsia" w:ascii="方正黑体_GBK" w:hAnsi="方正黑体_GBK" w:eastAsia="方正黑体_GBK" w:cs="方正黑体_GBK"/>
          <w:color w:val="000000" w:themeColor="text1"/>
          <w:sz w:val="28"/>
          <w:szCs w:val="28"/>
          <w14:textFill>
            <w14:solidFill>
              <w14:schemeClr w14:val="tx1"/>
            </w14:solidFill>
          </w14:textFill>
        </w:rPr>
        <w:t xml:space="preserve">    </w:t>
      </w:r>
    </w:p>
    <w:p>
      <w:pPr>
        <w:pStyle w:val="17"/>
        <w:rPr>
          <w:rFonts w:ascii="方正黑体_GBK" w:hAnsi="方正黑体_GBK" w:eastAsia="方正黑体_GBK" w:cs="方正黑体_GBK"/>
          <w:color w:val="000000" w:themeColor="text1"/>
          <w:sz w:val="28"/>
          <w:szCs w:val="28"/>
          <w14:textFill>
            <w14:solidFill>
              <w14:schemeClr w14:val="tx1"/>
            </w14:solidFill>
          </w14:textFill>
        </w:rPr>
      </w:pPr>
      <w:r>
        <w:br w:type="page"/>
      </w:r>
      <w:r>
        <w:rPr>
          <w:rFonts w:hint="eastAsia"/>
          <w:lang w:val="en-US" w:eastAsia="zh-CN"/>
        </w:rPr>
        <w:t xml:space="preserve">     </w:t>
      </w:r>
      <w:r>
        <w:rPr>
          <w:rFonts w:hint="eastAsia" w:ascii="方正黑体_GBK" w:hAnsi="方正黑体_GBK" w:eastAsia="方正黑体_GBK" w:cs="方正黑体_GBK"/>
          <w:color w:val="000000" w:themeColor="text1"/>
          <w:sz w:val="28"/>
          <w:szCs w:val="28"/>
          <w14:textFill>
            <w14:solidFill>
              <w14:schemeClr w14:val="tx1"/>
            </w14:solidFill>
          </w14:textFill>
        </w:rPr>
        <w:t>二、竞争性磋商文件获取：</w:t>
      </w:r>
    </w:p>
    <w:p>
      <w:pPr>
        <w:pStyle w:val="19"/>
        <w:spacing w:line="600" w:lineRule="exact"/>
        <w:ind w:firstLine="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w:t>
      </w:r>
      <w:r>
        <w:rPr>
          <w:rFonts w:hint="eastAsia" w:ascii="方正楷体_GBK" w:hAnsi="方正楷体_GBK" w:eastAsia="方正楷体_GBK" w:cs="方正楷体_GBK"/>
          <w:color w:val="000000" w:themeColor="text1"/>
          <w:sz w:val="28"/>
          <w:szCs w:val="28"/>
          <w14:textFill>
            <w14:solidFill>
              <w14:schemeClr w14:val="tx1"/>
            </w14:solidFill>
          </w14:textFill>
        </w:rPr>
        <w:t xml:space="preserve">  （一）获取时间：</w:t>
      </w:r>
    </w:p>
    <w:p>
      <w:pPr>
        <w:pStyle w:val="19"/>
        <w:spacing w:line="600" w:lineRule="exact"/>
        <w:ind w:firstLine="56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fldChar w:fldCharType="begin"/>
      </w:r>
      <w:r>
        <w:rPr>
          <w:rFonts w:hint="eastAsia" w:ascii="方正仿宋_GBK" w:hAnsi="宋体" w:eastAsia="方正仿宋_GBK"/>
          <w:color w:val="000000" w:themeColor="text1"/>
          <w:sz w:val="28"/>
          <w:szCs w:val="28"/>
          <w14:textFill>
            <w14:solidFill>
              <w14:schemeClr w14:val="tx1"/>
            </w14:solidFill>
          </w14:textFill>
        </w:rPr>
        <w:instrText xml:space="preserve"> LINK Office12.wps.Document.8 D:\\Users\\Administrator\\Desktop\\基础信息单一服务-word版.docx OLE_LINK8 \a \t  \* MERGEFORMAT </w:instrText>
      </w:r>
      <w:r>
        <w:rPr>
          <w:rFonts w:hint="eastAsia" w:ascii="方正仿宋_GBK" w:hAnsi="宋体" w:eastAsia="方正仿宋_GBK"/>
          <w:color w:val="000000" w:themeColor="text1"/>
          <w:sz w:val="28"/>
          <w:szCs w:val="28"/>
          <w14:textFill>
            <w14:solidFill>
              <w14:schemeClr w14:val="tx1"/>
            </w14:solidFill>
          </w14:textFill>
        </w:rPr>
        <w:fldChar w:fldCharType="separate"/>
      </w:r>
      <w:r>
        <w:rPr>
          <w:rFonts w:hint="eastAsia" w:ascii="方正仿宋_GBK" w:hAnsi="宋体" w:eastAsia="方正仿宋_GBK"/>
          <w:color w:val="000000" w:themeColor="text1"/>
          <w:sz w:val="28"/>
          <w:szCs w:val="28"/>
          <w14:textFill>
            <w14:solidFill>
              <w14:schemeClr w14:val="tx1"/>
            </w14:solidFill>
          </w14:textFill>
        </w:rPr>
        <w:t>2022年 8</w:t>
      </w:r>
      <w:r>
        <w:rPr>
          <w:rFonts w:hint="eastAsia" w:ascii="方正仿宋_GBK" w:hAnsi="宋体" w:eastAsia="方正仿宋_GBK"/>
          <w:color w:val="000000" w:themeColor="text1"/>
          <w:sz w:val="28"/>
          <w:szCs w:val="28"/>
          <w:lang w:val="en-US" w:eastAsia="zh-CN"/>
          <w14:textFill>
            <w14:solidFill>
              <w14:schemeClr w14:val="tx1"/>
            </w14:solidFill>
          </w14:textFill>
        </w:rPr>
        <w:t>月</w:t>
      </w:r>
      <w:r>
        <w:rPr>
          <w:rFonts w:hint="eastAsia" w:ascii="方正仿宋_GBK" w:hAnsi="宋体" w:eastAsia="方正仿宋_GBK"/>
          <w:color w:val="000000" w:themeColor="text1"/>
          <w:sz w:val="28"/>
          <w:szCs w:val="28"/>
          <w14:textFill>
            <w14:solidFill>
              <w14:schemeClr w14:val="tx1"/>
            </w14:solidFill>
          </w14:textFill>
        </w:rPr>
        <w:t>10 日</w:t>
      </w:r>
      <w:r>
        <w:rPr>
          <w:rFonts w:hint="eastAsia" w:ascii="方正仿宋_GBK" w:hAnsi="宋体" w:eastAsia="方正仿宋_GBK"/>
          <w:color w:val="000000" w:themeColor="text1"/>
          <w:sz w:val="28"/>
          <w:szCs w:val="28"/>
          <w14:textFill>
            <w14:solidFill>
              <w14:schemeClr w14:val="tx1"/>
            </w14:solidFill>
          </w14:textFill>
        </w:rPr>
        <w:fldChar w:fldCharType="end"/>
      </w:r>
      <w:r>
        <w:rPr>
          <w:rFonts w:hint="eastAsia" w:ascii="方正仿宋_GBK" w:hAnsi="宋体" w:eastAsia="方正仿宋_GBK"/>
          <w:color w:val="000000" w:themeColor="text1"/>
          <w:sz w:val="28"/>
          <w:szCs w:val="28"/>
          <w14:textFill>
            <w14:solidFill>
              <w14:schemeClr w14:val="tx1"/>
            </w14:solidFill>
          </w14:textFill>
        </w:rPr>
        <w:t>-8月21日</w:t>
      </w:r>
    </w:p>
    <w:p>
      <w:pPr>
        <w:pStyle w:val="19"/>
        <w:spacing w:line="600" w:lineRule="exact"/>
        <w:ind w:firstLine="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w:t>
      </w:r>
      <w:r>
        <w:rPr>
          <w:rFonts w:hint="eastAsia" w:ascii="方正楷体_GBK" w:hAnsi="方正楷体_GBK" w:eastAsia="方正楷体_GBK" w:cs="方正楷体_GBK"/>
          <w:color w:val="000000" w:themeColor="text1"/>
          <w:sz w:val="28"/>
          <w:szCs w:val="28"/>
          <w14:textFill>
            <w14:solidFill>
              <w14:schemeClr w14:val="tx1"/>
            </w14:solidFill>
          </w14:textFill>
        </w:rPr>
        <w:t>（二）获取地点：</w:t>
      </w:r>
    </w:p>
    <w:p>
      <w:pPr>
        <w:pStyle w:val="19"/>
        <w:spacing w:line="600" w:lineRule="exact"/>
        <w:ind w:firstLine="560" w:firstLineChars="0"/>
        <w:rPr>
          <w:rFonts w:hint="eastAsia" w:ascii="方正仿宋_GBK" w:hAnsi="宋体" w:eastAsia="方正仿宋_GBK"/>
          <w:color w:val="000000" w:themeColor="text1"/>
          <w:sz w:val="28"/>
          <w:szCs w:val="28"/>
          <w:lang w:val="en-US" w:eastAsia="zh-CN"/>
          <w14:textFill>
            <w14:solidFill>
              <w14:schemeClr w14:val="tx1"/>
            </w14:solidFill>
          </w14:textFill>
        </w:rPr>
      </w:pPr>
      <w:r>
        <w:rPr>
          <w:rFonts w:hint="eastAsia" w:ascii="方正仿宋_GBK" w:hAnsi="宋体" w:eastAsia="方正仿宋_GBK"/>
          <w:color w:val="000000" w:themeColor="text1"/>
          <w:sz w:val="28"/>
          <w:szCs w:val="28"/>
          <w:lang w:val="en-US" w:eastAsia="zh-CN"/>
          <w14:textFill>
            <w14:solidFill>
              <w14:schemeClr w14:val="tx1"/>
            </w14:solidFill>
          </w14:textFill>
        </w:rPr>
        <w:t>重庆银行官网进行下载；</w:t>
      </w:r>
      <w:r>
        <w:rPr>
          <w:rFonts w:hint="eastAsia" w:ascii="方正仿宋_GBK" w:hAnsi="宋体" w:eastAsia="方正仿宋_GBK"/>
          <w:sz w:val="28"/>
          <w:szCs w:val="28"/>
          <w:highlight w:val="none"/>
        </w:rPr>
        <w:t>采购人</w:t>
      </w:r>
      <w:r>
        <w:rPr>
          <w:rFonts w:hint="eastAsia" w:ascii="方正仿宋_GBK" w:hAnsi="宋体" w:eastAsia="方正仿宋_GBK"/>
          <w:sz w:val="28"/>
          <w:szCs w:val="28"/>
          <w:highlight w:val="none"/>
          <w:lang w:eastAsia="zh-CN"/>
        </w:rPr>
        <w:t>通过重庆银行官网</w:t>
      </w:r>
      <w:r>
        <w:rPr>
          <w:rFonts w:hint="eastAsia" w:ascii="方正仿宋_GBK" w:hAnsi="宋体" w:eastAsia="方正仿宋_GBK"/>
          <w:sz w:val="28"/>
          <w:szCs w:val="28"/>
          <w:highlight w:val="none"/>
        </w:rPr>
        <w:t>发放</w:t>
      </w:r>
      <w:r>
        <w:rPr>
          <w:rFonts w:hint="eastAsia" w:ascii="方正仿宋_GBK" w:hAnsi="宋体" w:eastAsia="方正仿宋_GBK"/>
          <w:sz w:val="28"/>
          <w:szCs w:val="28"/>
          <w:highlight w:val="none"/>
          <w:lang w:eastAsia="zh-CN"/>
        </w:rPr>
        <w:t>竞争性</w:t>
      </w:r>
      <w:r>
        <w:rPr>
          <w:rFonts w:hint="eastAsia" w:ascii="方正仿宋_GBK" w:hAnsi="宋体" w:eastAsia="方正仿宋_GBK"/>
          <w:sz w:val="28"/>
          <w:szCs w:val="28"/>
          <w:highlight w:val="none"/>
          <w:lang w:val="en-US" w:eastAsia="zh-CN"/>
        </w:rPr>
        <w:t>磋商</w:t>
      </w:r>
      <w:r>
        <w:rPr>
          <w:rFonts w:hint="eastAsia" w:ascii="方正仿宋_GBK" w:hAnsi="宋体" w:eastAsia="方正仿宋_GBK"/>
          <w:sz w:val="28"/>
          <w:szCs w:val="28"/>
          <w:highlight w:val="none"/>
        </w:rPr>
        <w:t>文件电子版，</w:t>
      </w:r>
      <w:r>
        <w:rPr>
          <w:rFonts w:hint="eastAsia" w:ascii="方正仿宋_GBK" w:hAnsi="宋体" w:eastAsia="方正仿宋_GBK"/>
          <w:color w:val="FF0000"/>
          <w:sz w:val="28"/>
          <w:szCs w:val="28"/>
          <w:highlight w:val="none"/>
        </w:rPr>
        <w:t>请</w:t>
      </w:r>
      <w:r>
        <w:rPr>
          <w:rFonts w:hint="eastAsia" w:ascii="方正仿宋_GBK" w:hAnsi="宋体" w:eastAsia="方正仿宋_GBK"/>
          <w:color w:val="FF0000"/>
          <w:sz w:val="28"/>
          <w:szCs w:val="28"/>
          <w:highlight w:val="none"/>
          <w:lang w:val="en-US" w:eastAsia="zh-CN"/>
        </w:rPr>
        <w:t>各</w:t>
      </w:r>
      <w:r>
        <w:rPr>
          <w:rFonts w:hint="eastAsia" w:ascii="方正仿宋_GBK" w:hAnsi="宋体" w:eastAsia="方正仿宋_GBK"/>
          <w:color w:val="FF0000"/>
          <w:sz w:val="28"/>
          <w:szCs w:val="28"/>
          <w:highlight w:val="none"/>
        </w:rPr>
        <w:t>单位</w:t>
      </w:r>
      <w:r>
        <w:rPr>
          <w:rFonts w:hint="eastAsia" w:ascii="方正仿宋_GBK" w:hAnsi="宋体" w:eastAsia="方正仿宋_GBK"/>
          <w:color w:val="FF0000"/>
          <w:sz w:val="28"/>
          <w:szCs w:val="28"/>
          <w:highlight w:val="none"/>
          <w:lang w:eastAsia="zh-CN"/>
        </w:rPr>
        <w:t>下载竞争性</w:t>
      </w:r>
      <w:r>
        <w:rPr>
          <w:rFonts w:hint="eastAsia" w:ascii="方正仿宋_GBK" w:hAnsi="宋体" w:eastAsia="方正仿宋_GBK"/>
          <w:color w:val="FF0000"/>
          <w:sz w:val="28"/>
          <w:szCs w:val="28"/>
          <w:highlight w:val="none"/>
          <w:lang w:val="en-US" w:eastAsia="zh-CN"/>
        </w:rPr>
        <w:t>磋商</w:t>
      </w:r>
      <w:r>
        <w:rPr>
          <w:rFonts w:hint="eastAsia" w:ascii="方正仿宋_GBK" w:hAnsi="宋体" w:eastAsia="方正仿宋_GBK"/>
          <w:color w:val="FF0000"/>
          <w:sz w:val="28"/>
          <w:szCs w:val="28"/>
          <w:highlight w:val="none"/>
          <w:lang w:eastAsia="zh-CN"/>
        </w:rPr>
        <w:t>文件</w:t>
      </w:r>
      <w:r>
        <w:rPr>
          <w:rFonts w:hint="eastAsia" w:ascii="方正仿宋_GBK" w:hAnsi="宋体" w:eastAsia="方正仿宋_GBK"/>
          <w:color w:val="FF0000"/>
          <w:sz w:val="28"/>
          <w:szCs w:val="28"/>
          <w:highlight w:val="none"/>
        </w:rPr>
        <w:t>电子版后以电子邮件</w:t>
      </w:r>
      <w:r>
        <w:rPr>
          <w:rFonts w:hint="eastAsia" w:ascii="方正仿宋_GBK" w:hAnsi="宋体" w:eastAsia="方正仿宋_GBK"/>
          <w:color w:val="FF0000"/>
          <w:sz w:val="28"/>
          <w:szCs w:val="28"/>
          <w:highlight w:val="none"/>
          <w:lang w:eastAsia="zh-CN"/>
        </w:rPr>
        <w:t>回复报名，电子邮件内容须包含参与项目名称、参与投标单位全称、联系人及联系方式。</w:t>
      </w:r>
      <w:r>
        <w:rPr>
          <w:rFonts w:hint="eastAsia" w:ascii="方正仿宋_GBK" w:hAnsi="宋体" w:eastAsia="方正仿宋_GBK"/>
          <w:color w:val="FF0000"/>
          <w:sz w:val="28"/>
          <w:szCs w:val="28"/>
          <w:highlight w:val="none"/>
          <w:lang w:val="en-US" w:eastAsia="zh-CN"/>
        </w:rPr>
        <w:t>报名邮箱：chendanfan@cqcbank.com。</w:t>
      </w:r>
    </w:p>
    <w:p>
      <w:pPr>
        <w:pStyle w:val="19"/>
        <w:spacing w:line="600" w:lineRule="exact"/>
        <w:rPr>
          <w:rFonts w:ascii="方正仿宋_GBK" w:hAnsi="宋体" w:eastAsia="方正仿宋_GBK"/>
          <w:color w:val="000000" w:themeColor="text1"/>
          <w:sz w:val="28"/>
          <w:szCs w:val="28"/>
          <w14:textFill>
            <w14:solidFill>
              <w14:schemeClr w14:val="tx1"/>
            </w14:solidFill>
          </w14:textFill>
        </w:rPr>
      </w:pPr>
      <w:r>
        <w:rPr>
          <w:rFonts w:hint="eastAsia" w:ascii="方正黑体_GBK" w:hAnsi="方正黑体_GBK" w:eastAsia="方正黑体_GBK" w:cs="方正黑体_GBK"/>
          <w:color w:val="000000" w:themeColor="text1"/>
          <w:sz w:val="28"/>
          <w:szCs w:val="28"/>
          <w14:textFill>
            <w14:solidFill>
              <w14:schemeClr w14:val="tx1"/>
            </w14:solidFill>
          </w14:textFill>
        </w:rPr>
        <w:t xml:space="preserve">三、竞争性磋商采购保证金： </w:t>
      </w:r>
    </w:p>
    <w:p>
      <w:pPr>
        <w:pStyle w:val="19"/>
        <w:spacing w:line="600" w:lineRule="exact"/>
        <w:ind w:firstLine="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详见本文件第二部分“采购须知”第九款要求。</w:t>
      </w:r>
    </w:p>
    <w:p>
      <w:pPr>
        <w:pStyle w:val="19"/>
        <w:spacing w:line="600" w:lineRule="exact"/>
        <w:ind w:firstLine="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w:t>
      </w:r>
      <w:r>
        <w:rPr>
          <w:rFonts w:hint="eastAsia" w:ascii="方正黑体_GBK" w:hAnsi="方正黑体_GBK" w:eastAsia="方正黑体_GBK" w:cs="方正黑体_GBK"/>
          <w:color w:val="000000" w:themeColor="text1"/>
          <w:sz w:val="28"/>
          <w:szCs w:val="28"/>
          <w14:textFill>
            <w14:solidFill>
              <w14:schemeClr w14:val="tx1"/>
            </w14:solidFill>
          </w14:textFill>
        </w:rPr>
        <w:t xml:space="preserve"> 四、竞争性磋商文件递交：</w:t>
      </w:r>
    </w:p>
    <w:p>
      <w:pPr>
        <w:pStyle w:val="19"/>
        <w:spacing w:line="600" w:lineRule="exact"/>
        <w:ind w:firstLine="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参与磋商单位须于</w:t>
      </w:r>
      <w:r>
        <w:rPr>
          <w:rFonts w:hint="eastAsia" w:ascii="方正仿宋_GBK" w:hAnsi="宋体" w:eastAsia="方正仿宋_GBK"/>
          <w:color w:val="000000" w:themeColor="text1"/>
          <w:sz w:val="28"/>
          <w:szCs w:val="28"/>
          <w14:textFill>
            <w14:solidFill>
              <w14:schemeClr w14:val="tx1"/>
            </w14:solidFill>
          </w14:textFill>
        </w:rPr>
        <w:fldChar w:fldCharType="begin"/>
      </w:r>
      <w:r>
        <w:rPr>
          <w:rFonts w:hint="eastAsia" w:ascii="方正仿宋_GBK" w:hAnsi="宋体" w:eastAsia="方正仿宋_GBK"/>
          <w:color w:val="000000" w:themeColor="text1"/>
          <w:sz w:val="28"/>
          <w:szCs w:val="28"/>
          <w14:textFill>
            <w14:solidFill>
              <w14:schemeClr w14:val="tx1"/>
            </w14:solidFill>
          </w14:textFill>
        </w:rPr>
        <w:instrText xml:space="preserve"> LINK Office12.wps.Document.8 D:\\Users\\Administrator\\Desktop\\基础信息单一服务-word版.docx OLE_LINK12 \a \t  \* MERGEFORMAT </w:instrText>
      </w:r>
      <w:r>
        <w:rPr>
          <w:rFonts w:hint="eastAsia" w:ascii="方正仿宋_GBK" w:hAnsi="宋体" w:eastAsia="方正仿宋_GBK"/>
          <w:color w:val="000000" w:themeColor="text1"/>
          <w:sz w:val="28"/>
          <w:szCs w:val="28"/>
          <w14:textFill>
            <w14:solidFill>
              <w14:schemeClr w14:val="tx1"/>
            </w14:solidFill>
          </w14:textFill>
        </w:rPr>
        <w:fldChar w:fldCharType="separate"/>
      </w:r>
      <w:r>
        <w:rPr>
          <w:rFonts w:hint="eastAsia" w:ascii="方正仿宋_GBK" w:hAnsi="宋体" w:eastAsia="方正仿宋_GBK"/>
          <w:color w:val="000000" w:themeColor="text1"/>
          <w:sz w:val="28"/>
          <w:szCs w:val="28"/>
          <w14:textFill>
            <w14:solidFill>
              <w14:schemeClr w14:val="tx1"/>
            </w14:solidFill>
          </w14:textFill>
        </w:rPr>
        <w:t>2022年</w:t>
      </w:r>
      <w:r>
        <w:rPr>
          <w:rFonts w:hint="eastAsia" w:ascii="方正仿宋_GBK" w:hAnsi="宋体" w:eastAsia="方正仿宋_GBK"/>
          <w:color w:val="000000" w:themeColor="text1"/>
          <w:sz w:val="28"/>
          <w:szCs w:val="28"/>
          <w:lang w:val="en-US" w:eastAsia="zh-CN"/>
          <w14:textFill>
            <w14:solidFill>
              <w14:schemeClr w14:val="tx1"/>
            </w14:solidFill>
          </w14:textFill>
        </w:rPr>
        <w:t>8</w:t>
      </w:r>
      <w:r>
        <w:rPr>
          <w:rFonts w:hint="eastAsia" w:ascii="方正仿宋_GBK" w:hAnsi="宋体" w:eastAsia="方正仿宋_GBK"/>
          <w:color w:val="000000" w:themeColor="text1"/>
          <w:sz w:val="28"/>
          <w:szCs w:val="28"/>
          <w14:textFill>
            <w14:solidFill>
              <w14:schemeClr w14:val="tx1"/>
            </w14:solidFill>
          </w14:textFill>
        </w:rPr>
        <w:t>月</w:t>
      </w:r>
      <w:r>
        <w:rPr>
          <w:rFonts w:hint="eastAsia" w:ascii="方正仿宋_GBK" w:hAnsi="宋体" w:eastAsia="方正仿宋_GBK"/>
          <w:color w:val="000000" w:themeColor="text1"/>
          <w:sz w:val="28"/>
          <w:szCs w:val="28"/>
          <w:lang w:val="en-US" w:eastAsia="zh-CN"/>
          <w14:textFill>
            <w14:solidFill>
              <w14:schemeClr w14:val="tx1"/>
            </w14:solidFill>
          </w14:textFill>
        </w:rPr>
        <w:t>22</w:t>
      </w:r>
      <w:r>
        <w:rPr>
          <w:rFonts w:hint="eastAsia" w:ascii="方正仿宋_GBK" w:hAnsi="宋体" w:eastAsia="方正仿宋_GBK"/>
          <w:color w:val="000000" w:themeColor="text1"/>
          <w:sz w:val="28"/>
          <w:szCs w:val="28"/>
          <w14:textFill>
            <w14:solidFill>
              <w14:schemeClr w14:val="tx1"/>
            </w14:solidFill>
          </w14:textFill>
        </w:rPr>
        <w:t>日</w:t>
      </w:r>
      <w:r>
        <w:rPr>
          <w:rFonts w:hint="eastAsia" w:ascii="方正仿宋_GBK" w:hAnsi="宋体" w:eastAsia="方正仿宋_GBK"/>
          <w:color w:val="000000" w:themeColor="text1"/>
          <w:sz w:val="28"/>
          <w:szCs w:val="28"/>
          <w:lang w:val="en-US" w:eastAsia="zh-CN"/>
          <w14:textFill>
            <w14:solidFill>
              <w14:schemeClr w14:val="tx1"/>
            </w14:solidFill>
          </w14:textFill>
        </w:rPr>
        <w:t>9</w:t>
      </w:r>
      <w:r>
        <w:rPr>
          <w:rFonts w:hint="eastAsia" w:ascii="方正仿宋_GBK" w:hAnsi="宋体" w:eastAsia="方正仿宋_GBK"/>
          <w:color w:val="000000" w:themeColor="text1"/>
          <w:sz w:val="28"/>
          <w:szCs w:val="28"/>
          <w14:textFill>
            <w14:solidFill>
              <w14:schemeClr w14:val="tx1"/>
            </w14:solidFill>
          </w14:textFill>
        </w:rPr>
        <w:fldChar w:fldCharType="end"/>
      </w:r>
      <w:r>
        <w:rPr>
          <w:rFonts w:hint="eastAsia" w:ascii="方正仿宋_GBK" w:hAnsi="宋体" w:eastAsia="方正仿宋_GBK"/>
          <w:color w:val="000000" w:themeColor="text1"/>
          <w:sz w:val="28"/>
          <w:szCs w:val="28"/>
          <w:lang w:val="en-US" w:eastAsia="zh-CN"/>
          <w14:textFill>
            <w14:solidFill>
              <w14:schemeClr w14:val="tx1"/>
            </w14:solidFill>
          </w14:textFill>
        </w:rPr>
        <w:t>:00</w:t>
      </w:r>
      <w:r>
        <w:rPr>
          <w:rFonts w:hint="eastAsia" w:ascii="方正仿宋_GBK" w:hAnsi="宋体" w:eastAsia="方正仿宋_GBK"/>
          <w:color w:val="000000" w:themeColor="text1"/>
          <w:sz w:val="28"/>
          <w:szCs w:val="28"/>
          <w14:textFill>
            <w14:solidFill>
              <w14:schemeClr w14:val="tx1"/>
            </w14:solidFill>
          </w14:textFill>
        </w:rPr>
        <w:t>时（北京时间）</w:t>
      </w:r>
      <w:r>
        <w:rPr>
          <w:rFonts w:hint="eastAsia" w:ascii="方正仿宋_GBK" w:hAnsi="宋体" w:eastAsia="方正仿宋_GBK"/>
          <w:color w:val="000000" w:themeColor="text1"/>
          <w:sz w:val="28"/>
          <w:szCs w:val="28"/>
          <w:lang w:val="en-US" w:eastAsia="zh-CN"/>
          <w14:textFill>
            <w14:solidFill>
              <w14:schemeClr w14:val="tx1"/>
            </w14:solidFill>
          </w14:textFill>
        </w:rPr>
        <w:t>前</w:t>
      </w:r>
      <w:r>
        <w:rPr>
          <w:rFonts w:hint="eastAsia" w:ascii="方正仿宋_GBK" w:hAnsi="宋体" w:eastAsia="方正仿宋_GBK"/>
          <w:color w:val="000000" w:themeColor="text1"/>
          <w:sz w:val="28"/>
          <w:szCs w:val="28"/>
          <w14:textFill>
            <w14:solidFill>
              <w14:schemeClr w14:val="tx1"/>
            </w14:solidFill>
          </w14:textFill>
        </w:rPr>
        <w:t>递交竞争性磋商响应文件。竞争性磋商响应文件正本一份，副本一份。</w:t>
      </w:r>
    </w:p>
    <w:p>
      <w:pPr>
        <w:pStyle w:val="19"/>
        <w:spacing w:line="600" w:lineRule="exact"/>
        <w:ind w:firstLine="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邮寄地址：</w:t>
      </w:r>
      <w:r>
        <w:rPr>
          <w:rFonts w:hint="eastAsia" w:ascii="方正仿宋_GBK" w:hAnsi="宋体" w:eastAsia="方正仿宋_GBK"/>
          <w:color w:val="000000" w:themeColor="text1"/>
          <w:sz w:val="28"/>
          <w:szCs w:val="28"/>
          <w:lang w:val="en-US" w:eastAsia="zh-CN"/>
          <w14:textFill>
            <w14:solidFill>
              <w14:schemeClr w14:val="tx1"/>
            </w14:solidFill>
          </w14:textFill>
        </w:rPr>
        <w:t>成都市天府二街99号A座重庆银行成都分行</w:t>
      </w:r>
    </w:p>
    <w:p>
      <w:pPr>
        <w:pStyle w:val="19"/>
        <w:spacing w:line="600" w:lineRule="exact"/>
        <w:ind w:firstLine="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接收人：</w:t>
      </w:r>
      <w:r>
        <w:rPr>
          <w:rFonts w:hint="eastAsia" w:ascii="方正仿宋_GBK" w:hAnsi="宋体" w:eastAsia="方正仿宋_GBK"/>
          <w:color w:val="000000" w:themeColor="text1"/>
          <w:sz w:val="28"/>
          <w:szCs w:val="28"/>
          <w:lang w:val="en-US" w:eastAsia="zh-CN"/>
          <w14:textFill>
            <w14:solidFill>
              <w14:schemeClr w14:val="tx1"/>
            </w14:solidFill>
          </w14:textFill>
        </w:rPr>
        <w:t>陈女士</w:t>
      </w:r>
    </w:p>
    <w:p>
      <w:pPr>
        <w:pStyle w:val="19"/>
        <w:spacing w:line="600" w:lineRule="exact"/>
        <w:ind w:firstLine="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电话：</w:t>
      </w:r>
      <w:r>
        <w:rPr>
          <w:rFonts w:hint="eastAsia" w:ascii="方正仿宋_GBK" w:hAnsi="宋体" w:eastAsia="方正仿宋_GBK"/>
          <w:color w:val="000000" w:themeColor="text1"/>
          <w:sz w:val="28"/>
          <w:szCs w:val="28"/>
          <w:lang w:val="en-US" w:eastAsia="zh-CN"/>
          <w14:textFill>
            <w14:solidFill>
              <w14:schemeClr w14:val="tx1"/>
            </w14:solidFill>
          </w14:textFill>
        </w:rPr>
        <w:t xml:space="preserve">028-85283278  </w:t>
      </w:r>
    </w:p>
    <w:p>
      <w:pPr>
        <w:pStyle w:val="19"/>
        <w:spacing w:line="600" w:lineRule="exact"/>
        <w:ind w:firstLine="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递交须知：近期受国内疫情影响，为减少人员流动，请各供应商将磋商文件以邮寄方式提前送达我行；磋商文件不予退还，请勿邮寄合同、证书、营业执照等原件资料。</w:t>
      </w:r>
    </w:p>
    <w:p>
      <w:pPr>
        <w:pStyle w:val="19"/>
        <w:spacing w:line="600" w:lineRule="exact"/>
        <w:ind w:firstLine="56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注：磋商文件袋封面及正副本封面必须留存联系人邮箱及手机号码，且磋商当日需保持电话畅通（授权代表准备身份证原件）！！！磋商过程将通过腾讯会议方式进行（请合理安排时间）。</w:t>
      </w:r>
    </w:p>
    <w:p>
      <w:pPr>
        <w:pStyle w:val="19"/>
        <w:spacing w:line="600" w:lineRule="exact"/>
        <w:ind w:firstLine="560" w:firstLineChars="0"/>
        <w:rPr>
          <w:rFonts w:ascii="方正黑体_GBK" w:hAnsi="方正黑体_GBK" w:eastAsia="方正黑体_GBK" w:cs="方正黑体_GBK"/>
          <w:color w:val="000000" w:themeColor="text1"/>
          <w:sz w:val="28"/>
          <w:szCs w:val="28"/>
          <w14:textFill>
            <w14:solidFill>
              <w14:schemeClr w14:val="tx1"/>
            </w14:solidFill>
          </w14:textFill>
        </w:rPr>
      </w:pPr>
      <w:r>
        <w:rPr>
          <w:rFonts w:hint="eastAsia" w:ascii="方正黑体_GBK" w:hAnsi="方正黑体_GBK" w:eastAsia="方正黑体_GBK" w:cs="方正黑体_GBK"/>
          <w:color w:val="000000" w:themeColor="text1"/>
          <w:sz w:val="28"/>
          <w:szCs w:val="28"/>
          <w14:textFill>
            <w14:solidFill>
              <w14:schemeClr w14:val="tx1"/>
            </w14:solidFill>
          </w14:textFill>
        </w:rPr>
        <w:t>五、磋商时间与地点：</w:t>
      </w:r>
    </w:p>
    <w:p>
      <w:pPr>
        <w:pStyle w:val="19"/>
        <w:spacing w:line="600" w:lineRule="exact"/>
        <w:ind w:firstLine="0" w:firstLineChars="0"/>
        <w:rPr>
          <w:rFonts w:ascii="方正楷体_GBK" w:hAnsi="宋体" w:eastAsia="方正楷体_GBK"/>
          <w:color w:val="000000" w:themeColor="text1"/>
          <w:sz w:val="28"/>
          <w:szCs w:val="28"/>
          <w14:textFill>
            <w14:solidFill>
              <w14:schemeClr w14:val="tx1"/>
            </w14:solidFill>
          </w14:textFill>
        </w:rPr>
      </w:pPr>
      <w:r>
        <w:rPr>
          <w:rFonts w:hint="eastAsia" w:ascii="方正楷体_GBK" w:hAnsi="宋体" w:eastAsia="方正楷体_GBK"/>
          <w:color w:val="000000" w:themeColor="text1"/>
          <w:sz w:val="28"/>
          <w:szCs w:val="28"/>
          <w14:textFill>
            <w14:solidFill>
              <w14:schemeClr w14:val="tx1"/>
            </w14:solidFill>
          </w14:textFill>
        </w:rPr>
        <w:t xml:space="preserve">   （一）磋商开始时间：</w:t>
      </w:r>
    </w:p>
    <w:p>
      <w:pPr>
        <w:pStyle w:val="19"/>
        <w:spacing w:line="600" w:lineRule="exact"/>
        <w:ind w:firstLine="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w:t>
      </w:r>
      <w:r>
        <w:rPr>
          <w:rFonts w:hint="eastAsia" w:ascii="方正仿宋_GBK" w:hAnsi="宋体" w:eastAsia="方正仿宋_GBK"/>
          <w:color w:val="000000" w:themeColor="text1"/>
          <w:sz w:val="28"/>
          <w:szCs w:val="28"/>
          <w14:textFill>
            <w14:solidFill>
              <w14:schemeClr w14:val="tx1"/>
            </w14:solidFill>
          </w14:textFill>
        </w:rPr>
        <w:fldChar w:fldCharType="begin"/>
      </w:r>
      <w:r>
        <w:rPr>
          <w:rFonts w:hint="eastAsia" w:ascii="方正仿宋_GBK" w:hAnsi="宋体" w:eastAsia="方正仿宋_GBK"/>
          <w:color w:val="000000" w:themeColor="text1"/>
          <w:sz w:val="28"/>
          <w:szCs w:val="28"/>
          <w14:textFill>
            <w14:solidFill>
              <w14:schemeClr w14:val="tx1"/>
            </w14:solidFill>
          </w14:textFill>
        </w:rPr>
        <w:instrText xml:space="preserve"> LINK Office12.wps.Document.8 D:\\Users\\Administrator\\Desktop\\基础信息单一服务-word版.docx OLE_LINK13 \a \t  \* MERGEFORMAT </w:instrText>
      </w:r>
      <w:r>
        <w:rPr>
          <w:rFonts w:hint="eastAsia" w:ascii="方正仿宋_GBK" w:hAnsi="宋体" w:eastAsia="方正仿宋_GBK"/>
          <w:color w:val="000000" w:themeColor="text1"/>
          <w:sz w:val="28"/>
          <w:szCs w:val="28"/>
          <w14:textFill>
            <w14:solidFill>
              <w14:schemeClr w14:val="tx1"/>
            </w14:solidFill>
          </w14:textFill>
        </w:rPr>
        <w:fldChar w:fldCharType="separate"/>
      </w:r>
      <w:r>
        <w:rPr>
          <w:rFonts w:hint="eastAsia" w:ascii="方正仿宋_GBK" w:hAnsi="宋体" w:eastAsia="方正仿宋_GBK"/>
          <w:color w:val="000000" w:themeColor="text1"/>
          <w:sz w:val="28"/>
          <w:szCs w:val="28"/>
          <w14:textFill>
            <w14:solidFill>
              <w14:schemeClr w14:val="tx1"/>
            </w14:solidFill>
          </w14:textFill>
        </w:rPr>
        <w:t>2022年</w:t>
      </w:r>
      <w:r>
        <w:rPr>
          <w:rFonts w:hint="eastAsia" w:ascii="方正仿宋_GBK" w:hAnsi="宋体" w:eastAsia="方正仿宋_GBK"/>
          <w:color w:val="000000" w:themeColor="text1"/>
          <w:sz w:val="28"/>
          <w:szCs w:val="28"/>
          <w:lang w:val="en-US" w:eastAsia="zh-CN"/>
          <w14:textFill>
            <w14:solidFill>
              <w14:schemeClr w14:val="tx1"/>
            </w14:solidFill>
          </w14:textFill>
        </w:rPr>
        <w:t>8</w:t>
      </w:r>
      <w:r>
        <w:rPr>
          <w:rFonts w:hint="eastAsia" w:ascii="方正仿宋_GBK" w:hAnsi="宋体" w:eastAsia="方正仿宋_GBK"/>
          <w:color w:val="000000" w:themeColor="text1"/>
          <w:sz w:val="28"/>
          <w:szCs w:val="28"/>
          <w14:textFill>
            <w14:solidFill>
              <w14:schemeClr w14:val="tx1"/>
            </w14:solidFill>
          </w14:textFill>
        </w:rPr>
        <w:t>月</w:t>
      </w:r>
      <w:r>
        <w:rPr>
          <w:rFonts w:hint="eastAsia" w:ascii="方正仿宋_GBK" w:hAnsi="宋体" w:eastAsia="方正仿宋_GBK"/>
          <w:color w:val="000000" w:themeColor="text1"/>
          <w:sz w:val="28"/>
          <w:szCs w:val="28"/>
          <w:lang w:val="en-US" w:eastAsia="zh-CN"/>
          <w14:textFill>
            <w14:solidFill>
              <w14:schemeClr w14:val="tx1"/>
            </w14:solidFill>
          </w14:textFill>
        </w:rPr>
        <w:t>22</w:t>
      </w:r>
      <w:r>
        <w:rPr>
          <w:rFonts w:hint="eastAsia" w:ascii="方正仿宋_GBK" w:hAnsi="宋体" w:eastAsia="方正仿宋_GBK"/>
          <w:color w:val="000000" w:themeColor="text1"/>
          <w:sz w:val="28"/>
          <w:szCs w:val="28"/>
          <w14:textFill>
            <w14:solidFill>
              <w14:schemeClr w14:val="tx1"/>
            </w14:solidFill>
          </w14:textFill>
        </w:rPr>
        <w:t>日</w:t>
      </w:r>
      <w:r>
        <w:rPr>
          <w:rFonts w:hint="eastAsia" w:ascii="方正仿宋_GBK" w:hAnsi="宋体" w:eastAsia="方正仿宋_GBK"/>
          <w:color w:val="000000" w:themeColor="text1"/>
          <w:sz w:val="28"/>
          <w:szCs w:val="28"/>
          <w14:textFill>
            <w14:solidFill>
              <w14:schemeClr w14:val="tx1"/>
            </w14:solidFill>
          </w14:textFill>
        </w:rPr>
        <w:fldChar w:fldCharType="end"/>
      </w:r>
      <w:r>
        <w:rPr>
          <w:rFonts w:hint="eastAsia" w:ascii="方正仿宋_GBK" w:hAnsi="宋体" w:eastAsia="方正仿宋_GBK"/>
          <w:color w:val="000000" w:themeColor="text1"/>
          <w:sz w:val="28"/>
          <w:szCs w:val="28"/>
          <w14:textFill>
            <w14:solidFill>
              <w14:schemeClr w14:val="tx1"/>
            </w14:solidFill>
          </w14:textFill>
        </w:rPr>
        <w:t xml:space="preserve"> </w:t>
      </w:r>
      <w:r>
        <w:rPr>
          <w:rFonts w:hint="eastAsia" w:ascii="方正仿宋_GBK" w:hAnsi="宋体" w:eastAsia="方正仿宋_GBK"/>
          <w:color w:val="000000" w:themeColor="text1"/>
          <w:sz w:val="28"/>
          <w:szCs w:val="28"/>
          <w:lang w:val="en-US" w:eastAsia="zh-CN"/>
          <w14:textFill>
            <w14:solidFill>
              <w14:schemeClr w14:val="tx1"/>
            </w14:solidFill>
          </w14:textFill>
        </w:rPr>
        <w:t>9时30分</w:t>
      </w:r>
      <w:r>
        <w:rPr>
          <w:rFonts w:hint="eastAsia" w:ascii="方正仿宋_GBK" w:hAnsi="宋体" w:eastAsia="方正仿宋_GBK"/>
          <w:color w:val="000000" w:themeColor="text1"/>
          <w:sz w:val="28"/>
          <w:szCs w:val="28"/>
          <w14:textFill>
            <w14:solidFill>
              <w14:schemeClr w14:val="tx1"/>
            </w14:solidFill>
          </w14:textFill>
        </w:rPr>
        <w:t>（北京时间）。</w:t>
      </w:r>
    </w:p>
    <w:p>
      <w:pPr>
        <w:pStyle w:val="19"/>
        <w:spacing w:line="600" w:lineRule="exact"/>
        <w:ind w:firstLine="0" w:firstLineChars="0"/>
        <w:rPr>
          <w:rFonts w:ascii="方正楷体_GBK" w:hAnsi="宋体" w:eastAsia="方正楷体_GBK"/>
          <w:color w:val="000000" w:themeColor="text1"/>
          <w:sz w:val="28"/>
          <w:szCs w:val="28"/>
          <w14:textFill>
            <w14:solidFill>
              <w14:schemeClr w14:val="tx1"/>
            </w14:solidFill>
          </w14:textFill>
        </w:rPr>
      </w:pPr>
      <w:r>
        <w:rPr>
          <w:rFonts w:hint="eastAsia" w:ascii="方正楷体_GBK" w:hAnsi="宋体" w:eastAsia="方正楷体_GBK"/>
          <w:color w:val="000000" w:themeColor="text1"/>
          <w:sz w:val="28"/>
          <w:szCs w:val="28"/>
          <w14:textFill>
            <w14:solidFill>
              <w14:schemeClr w14:val="tx1"/>
            </w14:solidFill>
          </w14:textFill>
        </w:rPr>
        <w:t xml:space="preserve">   （二）磋商地点：</w:t>
      </w:r>
    </w:p>
    <w:p>
      <w:pPr>
        <w:pStyle w:val="19"/>
        <w:spacing w:line="600" w:lineRule="exact"/>
        <w:ind w:firstLine="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成都市高新区天府二街99号30楼重庆银行成都分行   </w:t>
      </w:r>
    </w:p>
    <w:p>
      <w:pPr>
        <w:pStyle w:val="19"/>
        <w:spacing w:line="600" w:lineRule="exact"/>
        <w:ind w:firstLine="0" w:firstLineChars="0"/>
        <w:rPr>
          <w:rFonts w:ascii="方正黑体_GBK" w:hAnsi="方正黑体_GBK" w:eastAsia="方正黑体_GBK" w:cs="方正黑体_GBK"/>
          <w:color w:val="000000" w:themeColor="text1"/>
          <w:sz w:val="28"/>
          <w:szCs w:val="28"/>
          <w14:textFill>
            <w14:solidFill>
              <w14:schemeClr w14:val="tx1"/>
            </w14:solidFill>
          </w14:textFill>
        </w:rPr>
      </w:pPr>
      <w:r>
        <w:rPr>
          <w:rFonts w:hint="eastAsia" w:ascii="方正黑体_GBK" w:hAnsi="方正黑体_GBK" w:eastAsia="方正黑体_GBK" w:cs="方正黑体_GBK"/>
          <w:color w:val="000000" w:themeColor="text1"/>
          <w:sz w:val="28"/>
          <w:szCs w:val="28"/>
          <w14:textFill>
            <w14:solidFill>
              <w14:schemeClr w14:val="tx1"/>
            </w14:solidFill>
          </w14:textFill>
        </w:rPr>
        <w:t xml:space="preserve">    六、联系方式</w:t>
      </w:r>
    </w:p>
    <w:p>
      <w:pPr>
        <w:pStyle w:val="19"/>
        <w:spacing w:line="600" w:lineRule="exact"/>
        <w:ind w:firstLine="0" w:firstLineChars="0"/>
        <w:rPr>
          <w:rFonts w:ascii="方正仿宋_GBK" w:hAnsi="宋体" w:eastAsia="方正仿宋_GBK"/>
          <w:sz w:val="28"/>
          <w:szCs w:val="28"/>
        </w:rPr>
      </w:pPr>
      <w:r>
        <w:rPr>
          <w:rFonts w:hint="eastAsia" w:ascii="方正仿宋_GBK" w:hAnsi="宋体" w:eastAsia="方正仿宋_GBK"/>
          <w:sz w:val="28"/>
          <w:szCs w:val="28"/>
        </w:rPr>
        <w:t xml:space="preserve">    采购人：重庆银行股份有限公司成都分行</w:t>
      </w:r>
    </w:p>
    <w:p>
      <w:pPr>
        <w:pStyle w:val="19"/>
        <w:spacing w:line="600" w:lineRule="exact"/>
        <w:ind w:firstLine="0" w:firstLineChars="0"/>
        <w:rPr>
          <w:rFonts w:ascii="方正仿宋_GBK" w:hAnsi="宋体" w:eastAsia="方正仿宋_GBK"/>
          <w:sz w:val="28"/>
          <w:szCs w:val="28"/>
        </w:rPr>
      </w:pPr>
      <w:r>
        <w:rPr>
          <w:rFonts w:hint="eastAsia" w:ascii="方正仿宋_GBK" w:hAnsi="宋体" w:eastAsia="方正仿宋_GBK"/>
          <w:sz w:val="28"/>
          <w:szCs w:val="28"/>
        </w:rPr>
        <w:t xml:space="preserve">    地址：成都市高新区天府二街99号新天府金融大厦A座</w:t>
      </w:r>
    </w:p>
    <w:p>
      <w:pPr>
        <w:pStyle w:val="19"/>
        <w:spacing w:line="600" w:lineRule="exact"/>
        <w:ind w:firstLine="0" w:firstLineChars="0"/>
        <w:rPr>
          <w:rFonts w:ascii="方正仿宋_GBK" w:hAnsi="宋体" w:eastAsia="方正仿宋_GBK"/>
          <w:sz w:val="28"/>
          <w:szCs w:val="28"/>
        </w:rPr>
      </w:pPr>
      <w:r>
        <w:rPr>
          <w:rFonts w:hint="eastAsia" w:ascii="方正仿宋_GBK" w:hAnsi="宋体" w:eastAsia="方正仿宋_GBK"/>
          <w:sz w:val="28"/>
          <w:szCs w:val="28"/>
        </w:rPr>
        <w:t xml:space="preserve">    联系人： </w:t>
      </w:r>
      <w:r>
        <w:rPr>
          <w:rFonts w:hint="eastAsia" w:ascii="方正仿宋_GBK" w:hAnsi="宋体" w:eastAsia="方正仿宋_GBK"/>
          <w:sz w:val="28"/>
          <w:szCs w:val="28"/>
          <w:lang w:val="en-US" w:eastAsia="zh-CN"/>
        </w:rPr>
        <w:t>陈女士</w:t>
      </w:r>
    </w:p>
    <w:p>
      <w:pPr>
        <w:pStyle w:val="19"/>
        <w:spacing w:line="600" w:lineRule="exact"/>
        <w:ind w:firstLine="0" w:firstLineChars="0"/>
        <w:rPr>
          <w:rFonts w:ascii="方正仿宋_GBK" w:hAnsi="宋体" w:eastAsia="方正仿宋_GBK"/>
          <w:sz w:val="28"/>
          <w:szCs w:val="28"/>
        </w:rPr>
      </w:pPr>
      <w:r>
        <w:rPr>
          <w:rFonts w:hint="eastAsia" w:ascii="方正仿宋_GBK" w:hAnsi="宋体" w:eastAsia="方正仿宋_GBK"/>
          <w:sz w:val="28"/>
          <w:szCs w:val="28"/>
        </w:rPr>
        <w:t xml:space="preserve">    联系电话：</w:t>
      </w:r>
      <w:r>
        <w:rPr>
          <w:rFonts w:hint="eastAsia" w:ascii="方正仿宋_GBK" w:hAnsi="宋体" w:eastAsia="方正仿宋_GBK"/>
          <w:sz w:val="28"/>
          <w:szCs w:val="28"/>
          <w:lang w:val="en-US" w:eastAsia="zh-CN"/>
        </w:rPr>
        <w:t>028-85283278</w:t>
      </w:r>
    </w:p>
    <w:p>
      <w:pPr>
        <w:ind w:firstLine="570"/>
        <w:rPr>
          <w:rFonts w:ascii="方正仿宋_GBK" w:hAnsi="宋体" w:eastAsia="方正仿宋_GBK"/>
          <w:sz w:val="28"/>
          <w:szCs w:val="28"/>
        </w:rPr>
      </w:pPr>
    </w:p>
    <w:p>
      <w:pPr>
        <w:pStyle w:val="3"/>
        <w:spacing w:line="600" w:lineRule="exact"/>
        <w:jc w:val="center"/>
        <w:rPr>
          <w:rFonts w:ascii="方正仿宋_GBK" w:eastAsia="方正仿宋_GBK"/>
          <w:sz w:val="36"/>
          <w:szCs w:val="36"/>
        </w:rPr>
      </w:pPr>
      <w:r>
        <w:rPr>
          <w:rFonts w:hint="eastAsia" w:ascii="方正仿宋_GBK" w:hAnsi="宋体" w:eastAsia="方正仿宋_GBK"/>
          <w:sz w:val="28"/>
          <w:szCs w:val="28"/>
        </w:rPr>
        <w:br w:type="page"/>
      </w:r>
      <w:bookmarkStart w:id="1" w:name="_Toc522629843"/>
      <w:r>
        <w:rPr>
          <w:rFonts w:hint="eastAsia" w:ascii="方正仿宋_GBK" w:eastAsia="方正仿宋_GBK"/>
          <w:sz w:val="36"/>
          <w:szCs w:val="36"/>
        </w:rPr>
        <w:t>第二部分</w:t>
      </w:r>
      <w:r>
        <w:rPr>
          <w:rFonts w:hint="eastAsia" w:eastAsia="方正仿宋_GBK"/>
          <w:sz w:val="36"/>
          <w:szCs w:val="36"/>
        </w:rPr>
        <w:t>  </w:t>
      </w:r>
      <w:r>
        <w:rPr>
          <w:rFonts w:hint="eastAsia" w:ascii="方正仿宋_GBK" w:eastAsia="方正仿宋_GBK"/>
          <w:sz w:val="36"/>
          <w:szCs w:val="36"/>
        </w:rPr>
        <w:t>磋商须知</w:t>
      </w:r>
      <w:bookmarkEnd w:id="1"/>
    </w:p>
    <w:p>
      <w:pPr>
        <w:tabs>
          <w:tab w:val="left" w:pos="540"/>
          <w:tab w:val="left" w:pos="720"/>
        </w:tabs>
        <w:spacing w:line="600" w:lineRule="exact"/>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rPr>
        <w:t xml:space="preserve">    一、项目名称</w:t>
      </w:r>
    </w:p>
    <w:p>
      <w:pPr>
        <w:spacing w:line="600" w:lineRule="exact"/>
        <w:ind w:firstLine="538" w:firstLineChars="192"/>
        <w:rPr>
          <w:rFonts w:ascii="方正仿宋_GBK" w:hAnsi="宋体" w:eastAsia="方正仿宋_GBK"/>
          <w:b/>
          <w:bCs/>
          <w:sz w:val="28"/>
          <w:szCs w:val="28"/>
          <w:u w:val="single"/>
        </w:rPr>
      </w:pPr>
      <w:r>
        <w:rPr>
          <w:rFonts w:hint="eastAsia" w:ascii="方正仿宋_GBK" w:hAnsi="宋体" w:eastAsia="方正仿宋_GBK"/>
          <w:sz w:val="28"/>
          <w:szCs w:val="28"/>
        </w:rPr>
        <w:t>本次竞争性磋商项目为</w:t>
      </w:r>
      <w:r>
        <w:rPr>
          <w:rFonts w:hint="eastAsia" w:ascii="方正仿宋_GBK" w:hAnsi="宋体" w:eastAsia="方正仿宋_GBK"/>
          <w:b/>
          <w:bCs/>
          <w:sz w:val="28"/>
          <w:szCs w:val="28"/>
          <w:u w:val="single"/>
        </w:rPr>
        <w:t>重庆银行成都分行远程联网监控中心管理平台软硬件改造项目</w:t>
      </w:r>
      <w:r>
        <w:rPr>
          <w:rFonts w:hint="eastAsia" w:ascii="方正仿宋_GBK" w:hAnsi="宋体" w:eastAsia="方正仿宋_GBK"/>
          <w:b/>
          <w:bCs/>
          <w:sz w:val="28"/>
          <w:szCs w:val="28"/>
        </w:rPr>
        <w:t>。</w:t>
      </w:r>
    </w:p>
    <w:p>
      <w:pPr>
        <w:tabs>
          <w:tab w:val="left" w:pos="540"/>
          <w:tab w:val="left" w:pos="720"/>
        </w:tabs>
        <w:spacing w:line="600" w:lineRule="exact"/>
        <w:rPr>
          <w:rFonts w:ascii="方正仿宋_GBK" w:hAnsi="宋体" w:eastAsia="方正仿宋_GBK"/>
          <w:b/>
          <w:sz w:val="28"/>
          <w:szCs w:val="28"/>
        </w:rPr>
      </w:pPr>
      <w:r>
        <w:rPr>
          <w:rFonts w:hint="eastAsia" w:ascii="方正仿宋_GBK" w:hAnsi="宋体" w:eastAsia="方正仿宋_GBK"/>
          <w:b/>
          <w:sz w:val="28"/>
          <w:szCs w:val="28"/>
        </w:rPr>
        <w:t xml:space="preserve">    </w:t>
      </w:r>
      <w:r>
        <w:rPr>
          <w:rFonts w:hint="eastAsia" w:ascii="方正黑体_GBK" w:hAnsi="方正黑体_GBK" w:eastAsia="方正黑体_GBK" w:cs="方正黑体_GBK"/>
          <w:bCs/>
          <w:sz w:val="28"/>
          <w:szCs w:val="28"/>
        </w:rPr>
        <w:t>二、采购范围及服务内容</w:t>
      </w:r>
    </w:p>
    <w:p>
      <w:pPr>
        <w:spacing w:line="600" w:lineRule="exact"/>
        <w:ind w:left="403" w:leftChars="192"/>
        <w:rPr>
          <w:rFonts w:ascii="方正仿宋_GBK" w:hAnsi="宋体" w:eastAsia="方正仿宋_GBK"/>
          <w:sz w:val="28"/>
          <w:szCs w:val="28"/>
        </w:rPr>
      </w:pPr>
      <w:r>
        <w:rPr>
          <w:rFonts w:hint="eastAsia" w:ascii="方正仿宋_GBK" w:hAnsi="宋体" w:eastAsia="方正仿宋_GBK"/>
          <w:sz w:val="28"/>
          <w:szCs w:val="28"/>
        </w:rPr>
        <w:t xml:space="preserve"> 详见本文第一部分。</w:t>
      </w:r>
    </w:p>
    <w:p>
      <w:pPr>
        <w:tabs>
          <w:tab w:val="left" w:pos="540"/>
          <w:tab w:val="left" w:pos="720"/>
        </w:tabs>
        <w:spacing w:line="600" w:lineRule="exact"/>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rPr>
        <w:t xml:space="preserve">    三、供应商的资格</w:t>
      </w:r>
    </w:p>
    <w:p>
      <w:pPr>
        <w:tabs>
          <w:tab w:val="left" w:pos="540"/>
          <w:tab w:val="left" w:pos="720"/>
        </w:tabs>
        <w:spacing w:line="600" w:lineRule="exact"/>
        <w:ind w:firstLine="560"/>
        <w:rPr>
          <w:rFonts w:ascii="方正仿宋_GBK" w:hAnsi="宋体" w:eastAsia="方正仿宋_GBK"/>
          <w:sz w:val="28"/>
          <w:szCs w:val="28"/>
        </w:rPr>
      </w:pPr>
      <w:r>
        <w:rPr>
          <w:rFonts w:hint="eastAsia" w:ascii="方正仿宋_GBK" w:hAnsi="宋体" w:eastAsia="方正仿宋_GBK"/>
          <w:sz w:val="28"/>
          <w:szCs w:val="28"/>
        </w:rPr>
        <w:t>详见本文件第一部分。</w:t>
      </w:r>
    </w:p>
    <w:p>
      <w:pPr>
        <w:tabs>
          <w:tab w:val="left" w:pos="540"/>
          <w:tab w:val="left" w:pos="720"/>
        </w:tabs>
        <w:spacing w:line="600" w:lineRule="exact"/>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rPr>
        <w:t xml:space="preserve">    四、质量要求</w:t>
      </w:r>
    </w:p>
    <w:p>
      <w:pPr>
        <w:tabs>
          <w:tab w:val="left" w:pos="540"/>
          <w:tab w:val="left" w:pos="720"/>
        </w:tabs>
        <w:spacing w:line="600" w:lineRule="exact"/>
        <w:rPr>
          <w:rFonts w:hAnsi="宋体"/>
          <w:bCs/>
          <w:sz w:val="28"/>
        </w:rPr>
      </w:pPr>
      <w:r>
        <w:rPr>
          <w:rFonts w:hint="eastAsia" w:ascii="方正黑体_GBK" w:hAnsi="方正黑体_GBK" w:eastAsia="方正黑体_GBK" w:cs="方正黑体_GBK"/>
          <w:bCs/>
          <w:sz w:val="28"/>
          <w:szCs w:val="28"/>
        </w:rPr>
        <w:t xml:space="preserve">   </w:t>
      </w:r>
      <w:r>
        <w:rPr>
          <w:rFonts w:hint="eastAsia" w:ascii="方正仿宋_GBK" w:hAnsi="方正仿宋_GBK" w:eastAsia="方正仿宋_GBK" w:cs="方正仿宋_GBK"/>
          <w:bCs/>
          <w:sz w:val="28"/>
          <w:szCs w:val="28"/>
        </w:rPr>
        <w:t xml:space="preserve"> 详见本文件第一部分</w:t>
      </w:r>
      <w:r>
        <w:rPr>
          <w:rFonts w:hint="eastAsia" w:ascii="方正仿宋_GBK" w:hAnsi="方正仿宋_GBK" w:eastAsia="方正仿宋_GBK" w:cs="方正仿宋_GBK"/>
          <w:bCs/>
          <w:sz w:val="28"/>
        </w:rPr>
        <w:t>。</w:t>
      </w:r>
    </w:p>
    <w:p>
      <w:pPr>
        <w:tabs>
          <w:tab w:val="left" w:pos="540"/>
          <w:tab w:val="left" w:pos="720"/>
        </w:tabs>
        <w:spacing w:line="600" w:lineRule="exact"/>
        <w:rPr>
          <w:rFonts w:ascii="方正黑体_GBK" w:hAnsi="方正黑体_GBK" w:eastAsia="方正黑体_GBK" w:cs="方正黑体_GBK"/>
          <w:bCs/>
          <w:sz w:val="28"/>
          <w:szCs w:val="28"/>
        </w:rPr>
      </w:pPr>
      <w:r>
        <w:rPr>
          <w:rFonts w:hint="eastAsia" w:ascii="方正仿宋_GBK" w:hAnsi="宋体" w:eastAsia="方正仿宋_GBK"/>
          <w:b/>
          <w:sz w:val="28"/>
          <w:szCs w:val="28"/>
        </w:rPr>
        <w:t xml:space="preserve">   </w:t>
      </w:r>
      <w:r>
        <w:rPr>
          <w:rFonts w:hint="eastAsia" w:ascii="方正黑体_GBK" w:hAnsi="方正黑体_GBK" w:eastAsia="方正黑体_GBK" w:cs="方正黑体_GBK"/>
          <w:bCs/>
          <w:sz w:val="28"/>
          <w:szCs w:val="28"/>
        </w:rPr>
        <w:t xml:space="preserve"> 五、竞争性磋商文件的澄清和修改</w:t>
      </w:r>
    </w:p>
    <w:p>
      <w:pPr>
        <w:tabs>
          <w:tab w:val="left" w:pos="540"/>
          <w:tab w:val="left" w:pos="720"/>
        </w:tabs>
        <w:spacing w:line="600" w:lineRule="exact"/>
        <w:rPr>
          <w:rFonts w:ascii="方正仿宋_GBK" w:hAnsi="方正仿宋_GBK" w:eastAsia="方正仿宋_GBK" w:cs="方正仿宋_GBK"/>
          <w:bCs/>
          <w:sz w:val="28"/>
          <w:szCs w:val="28"/>
        </w:rPr>
      </w:pPr>
      <w:r>
        <w:rPr>
          <w:rFonts w:hint="eastAsia" w:ascii="方正黑体_GBK" w:hAnsi="方正黑体_GBK" w:eastAsia="方正黑体_GBK" w:cs="方正黑体_GBK"/>
          <w:bCs/>
          <w:sz w:val="28"/>
          <w:szCs w:val="28"/>
        </w:rPr>
        <w:t xml:space="preserve">    </w:t>
      </w:r>
      <w:r>
        <w:rPr>
          <w:rFonts w:hint="eastAsia" w:ascii="方正仿宋_GBK" w:hAnsi="方正仿宋_GBK" w:eastAsia="方正仿宋_GBK" w:cs="方正仿宋_GBK"/>
          <w:bCs/>
          <w:sz w:val="28"/>
          <w:szCs w:val="28"/>
        </w:rPr>
        <w:t>（一）供应商应仔细阅读和检查竞争性磋商文件的全部内容。如发现缺页或附件不全，应及时向采购人提出，以便补齐。如有疑问，应在领取本磋商文件之日起2日内以书面形式（包括书面文字、传真等）向采购人提出。采购人或采购代理机构可视具体情况做出处理或答复。如供应商未提出疑问，视为完全理解并同意本采购文件。一经进入磋商程序，即视为供应商已详细阅读全部文件资料，完全理解本采购文件所有条款内容并同意放弃对这方面有不明白及误解的权利。</w:t>
      </w:r>
    </w:p>
    <w:p>
      <w:pPr>
        <w:tabs>
          <w:tab w:val="left" w:pos="540"/>
          <w:tab w:val="left" w:pos="720"/>
        </w:tabs>
        <w:spacing w:line="600" w:lineRule="exact"/>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 xml:space="preserve">    （二）采购人对竞争性磋商文件如有澄清或修改，将以书面形式通知所有参与磋商的供应商，修改内容将作为竞争性磋商文件的组成部分。</w:t>
      </w:r>
    </w:p>
    <w:p>
      <w:pPr>
        <w:tabs>
          <w:tab w:val="left" w:pos="540"/>
          <w:tab w:val="left" w:pos="720"/>
        </w:tabs>
        <w:spacing w:line="600" w:lineRule="exact"/>
        <w:rPr>
          <w:rFonts w:ascii="方正仿宋_GBK" w:hAnsi="宋体" w:eastAsia="方正仿宋_GBK"/>
          <w:b/>
          <w:sz w:val="28"/>
          <w:szCs w:val="28"/>
        </w:rPr>
      </w:pPr>
      <w:r>
        <w:rPr>
          <w:rFonts w:hint="eastAsia" w:ascii="方正仿宋_GBK" w:hAnsi="宋体" w:eastAsia="方正仿宋_GBK"/>
          <w:b/>
          <w:sz w:val="28"/>
          <w:szCs w:val="28"/>
        </w:rPr>
        <w:t xml:space="preserve">   </w:t>
      </w:r>
      <w:r>
        <w:rPr>
          <w:rFonts w:hint="eastAsia" w:ascii="方正黑体_GBK" w:hAnsi="方正黑体_GBK" w:eastAsia="方正黑体_GBK" w:cs="方正黑体_GBK"/>
          <w:bCs/>
          <w:sz w:val="28"/>
          <w:szCs w:val="28"/>
        </w:rPr>
        <w:t xml:space="preserve"> 六、竞争性磋商的响应文件</w:t>
      </w:r>
    </w:p>
    <w:p>
      <w:pPr>
        <w:spacing w:line="600" w:lineRule="exact"/>
        <w:ind w:firstLine="538" w:firstLineChars="192"/>
        <w:rPr>
          <w:rFonts w:ascii="方正仿宋_GBK" w:hAnsi="宋体" w:eastAsia="方正仿宋_GBK"/>
          <w:sz w:val="28"/>
          <w:szCs w:val="28"/>
        </w:rPr>
      </w:pPr>
      <w:r>
        <w:rPr>
          <w:rFonts w:hint="eastAsia" w:ascii="方正仿宋_GBK" w:hAnsi="宋体" w:eastAsia="方正仿宋_GBK"/>
          <w:sz w:val="28"/>
          <w:szCs w:val="28"/>
        </w:rPr>
        <w:t>磋商供应商应当按照以下要求编制竞争性磋商响应文件，并对磋商文件提出的要求和条件做出实质性响应。</w:t>
      </w:r>
    </w:p>
    <w:p>
      <w:pPr>
        <w:tabs>
          <w:tab w:val="left" w:pos="540"/>
          <w:tab w:val="left" w:pos="720"/>
        </w:tabs>
        <w:spacing w:line="600" w:lineRule="exact"/>
        <w:ind w:firstLine="555"/>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响应文件由以下部分和供应商所作的一切有效补充、修改和承诺等文件组成，供应商应按照本文件第五部分“响应文件格式”规定的目录顺序组织编写和装订。</w:t>
      </w:r>
    </w:p>
    <w:tbl>
      <w:tblPr>
        <w:tblStyle w:val="16"/>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9" w:hRule="atLeast"/>
        </w:trPr>
        <w:tc>
          <w:tcPr>
            <w:tcW w:w="9639" w:type="dxa"/>
          </w:tcPr>
          <w:p>
            <w:pPr>
              <w:tabs>
                <w:tab w:val="left" w:pos="540"/>
                <w:tab w:val="left" w:pos="720"/>
              </w:tabs>
              <w:spacing w:line="56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目录</w:t>
            </w:r>
          </w:p>
          <w:p>
            <w:pPr>
              <w:tabs>
                <w:tab w:val="left" w:pos="540"/>
                <w:tab w:val="left" w:pos="720"/>
              </w:tabs>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 响应函</w:t>
            </w:r>
          </w:p>
          <w:p>
            <w:pPr>
              <w:tabs>
                <w:tab w:val="left" w:pos="540"/>
                <w:tab w:val="left" w:pos="720"/>
              </w:tabs>
              <w:spacing w:line="560" w:lineRule="exact"/>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 xml:space="preserve">    2. 报价明细表</w:t>
            </w:r>
          </w:p>
          <w:p>
            <w:pPr>
              <w:tabs>
                <w:tab w:val="left" w:pos="540"/>
                <w:tab w:val="left" w:pos="720"/>
              </w:tabs>
              <w:spacing w:line="560" w:lineRule="exact"/>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 xml:space="preserve">    3. 法人营业执照复印件（加盖鲜章）</w:t>
            </w:r>
          </w:p>
          <w:p>
            <w:pPr>
              <w:tabs>
                <w:tab w:val="left" w:pos="540"/>
                <w:tab w:val="left" w:pos="720"/>
              </w:tabs>
              <w:spacing w:line="560" w:lineRule="exact"/>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 xml:space="preserve">    4. 法定代表人授权委托书（原件）</w:t>
            </w:r>
          </w:p>
          <w:p>
            <w:pPr>
              <w:tabs>
                <w:tab w:val="left" w:pos="540"/>
                <w:tab w:val="left" w:pos="720"/>
              </w:tabs>
              <w:spacing w:line="560" w:lineRule="exact"/>
              <w:ind w:firstLine="56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 xml:space="preserve">5. </w:t>
            </w:r>
            <w:r>
              <w:rPr>
                <w:rFonts w:hint="eastAsia" w:ascii="仿宋_GB2312" w:hAnsi="宋体" w:eastAsia="仿宋_GB2312"/>
                <w:color w:val="000000"/>
                <w:sz w:val="28"/>
                <w:szCs w:val="28"/>
              </w:rPr>
              <w:t>递交采购响应保证金的凭证复印件</w:t>
            </w:r>
          </w:p>
          <w:p>
            <w:pPr>
              <w:tabs>
                <w:tab w:val="left" w:pos="540"/>
                <w:tab w:val="left" w:pos="720"/>
              </w:tabs>
              <w:spacing w:line="560" w:lineRule="exact"/>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 xml:space="preserve">    6. 供应商银行基本账户开户许可证复印件（加盖供应商鲜章）</w:t>
            </w:r>
          </w:p>
          <w:p>
            <w:pPr>
              <w:tabs>
                <w:tab w:val="left" w:pos="540"/>
                <w:tab w:val="left" w:pos="720"/>
              </w:tabs>
              <w:spacing w:line="560" w:lineRule="exact"/>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 xml:space="preserve">    7. 采购响应保证金退还信息表</w:t>
            </w:r>
          </w:p>
          <w:p>
            <w:pPr>
              <w:tabs>
                <w:tab w:val="left" w:pos="540"/>
                <w:tab w:val="left" w:pos="720"/>
              </w:tabs>
              <w:spacing w:line="560" w:lineRule="exact"/>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 xml:space="preserve">    8. 技术/商务偏离表</w:t>
            </w:r>
          </w:p>
          <w:p>
            <w:pPr>
              <w:tabs>
                <w:tab w:val="left" w:pos="540"/>
                <w:tab w:val="left" w:pos="720"/>
              </w:tabs>
              <w:spacing w:line="560" w:lineRule="exact"/>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 xml:space="preserve">    9. 供应商的其他资料或承诺（如果有）</w:t>
            </w:r>
          </w:p>
          <w:p>
            <w:pPr>
              <w:tabs>
                <w:tab w:val="left" w:pos="540"/>
                <w:tab w:val="left" w:pos="720"/>
              </w:tabs>
              <w:spacing w:line="560" w:lineRule="exact"/>
              <w:ind w:left="885" w:hanging="885" w:hangingChars="316"/>
            </w:pPr>
            <w:r>
              <w:rPr>
                <w:rFonts w:hint="eastAsia" w:ascii="方正仿宋_GBK" w:hAnsi="方正仿宋_GBK" w:eastAsia="方正仿宋_GBK" w:cs="方正仿宋_GBK"/>
                <w:bCs/>
                <w:sz w:val="28"/>
                <w:szCs w:val="28"/>
              </w:rPr>
              <w:t xml:space="preserve">    10. 电子文档（包含全套盖章响应资料的U盘1份，采用U盘作为载体，格式为PDF文档，电子版文件仅作存档使用，不作为评审依据；电子版盖章响应文件应与纸质版响应文件一致，当电子介质的响应文件与纸质响应文件不一致时，以纸质响应文件为准）。</w:t>
            </w:r>
          </w:p>
        </w:tc>
      </w:tr>
    </w:tbl>
    <w:p>
      <w:pPr>
        <w:tabs>
          <w:tab w:val="left" w:pos="540"/>
          <w:tab w:val="left" w:pos="720"/>
        </w:tabs>
        <w:spacing w:before="156" w:beforeLines="50" w:line="600" w:lineRule="exact"/>
        <w:rPr>
          <w:rFonts w:ascii="方正仿宋_GBK" w:hAnsi="宋体" w:eastAsia="方正仿宋_GBK"/>
          <w:b/>
          <w:sz w:val="28"/>
          <w:szCs w:val="28"/>
        </w:rPr>
      </w:pPr>
      <w:r>
        <w:rPr>
          <w:rFonts w:hint="eastAsia" w:ascii="方正仿宋_GBK" w:hAnsi="方正仿宋_GBK" w:eastAsia="方正仿宋_GBK" w:cs="方正仿宋_GBK"/>
          <w:bCs/>
          <w:sz w:val="28"/>
          <w:szCs w:val="28"/>
        </w:rPr>
        <w:t xml:space="preserve">    </w:t>
      </w:r>
      <w:r>
        <w:rPr>
          <w:rFonts w:hint="eastAsia" w:ascii="方正黑体_GBK" w:hAnsi="方正黑体_GBK" w:eastAsia="方正黑体_GBK" w:cs="方正黑体_GBK"/>
          <w:bCs/>
          <w:sz w:val="28"/>
          <w:szCs w:val="28"/>
        </w:rPr>
        <w:t>七、竞争性磋商响应文件的数量、签署及装订要求</w:t>
      </w:r>
    </w:p>
    <w:p>
      <w:pPr>
        <w:spacing w:line="60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u w:val="single"/>
        </w:rPr>
        <w:t>响应文件正本一份，副本一份。</w:t>
      </w:r>
      <w:r>
        <w:rPr>
          <w:rFonts w:hint="eastAsia" w:ascii="方正仿宋_GBK" w:hAnsi="宋体" w:eastAsia="方正仿宋_GBK"/>
          <w:sz w:val="28"/>
          <w:szCs w:val="28"/>
        </w:rPr>
        <w:t>正本与副本不一致时，以正本为准。响应文件应装订成册，并编制页码，不得采用活页装订。响应文件应密封。响应文件袋上应注明项目名称、供应商名称、“响应文件”等字样。</w:t>
      </w:r>
    </w:p>
    <w:p>
      <w:pPr>
        <w:spacing w:line="6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本竞争性磋商文件提供有统一格式的，响应文件应按统一的格式制作，并在相应的位置签字或盖章。本竞争性磋商文件没有提供统一格式的，由磋商供应商自行确定格式填报。</w:t>
      </w:r>
    </w:p>
    <w:p>
      <w:pPr>
        <w:spacing w:line="6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供应商应保证响应文件中的相关证明资料清晰可辨，否则由此引起的后果由供应商自负。</w:t>
      </w:r>
    </w:p>
    <w:p>
      <w:pPr>
        <w:tabs>
          <w:tab w:val="left" w:pos="540"/>
          <w:tab w:val="left" w:pos="720"/>
        </w:tabs>
        <w:spacing w:line="600" w:lineRule="exact"/>
        <w:rPr>
          <w:rFonts w:ascii="方正仿宋_GBK" w:hAnsi="宋体" w:eastAsia="方正仿宋_GBK"/>
          <w:b/>
          <w:sz w:val="28"/>
          <w:szCs w:val="28"/>
        </w:rPr>
      </w:pPr>
      <w:r>
        <w:rPr>
          <w:rFonts w:hint="eastAsia" w:ascii="方正仿宋_GBK" w:hAnsi="宋体" w:eastAsia="方正仿宋_GBK"/>
          <w:b/>
          <w:sz w:val="28"/>
          <w:szCs w:val="28"/>
        </w:rPr>
        <w:t xml:space="preserve">    </w:t>
      </w:r>
      <w:r>
        <w:rPr>
          <w:rFonts w:hint="eastAsia" w:ascii="方正黑体_GBK" w:hAnsi="方正黑体_GBK" w:eastAsia="方正黑体_GBK" w:cs="方正黑体_GBK"/>
          <w:bCs/>
          <w:sz w:val="28"/>
          <w:szCs w:val="28"/>
        </w:rPr>
        <w:t>八、报价及费用结算</w:t>
      </w:r>
    </w:p>
    <w:p>
      <w:pPr>
        <w:spacing w:line="600" w:lineRule="exact"/>
        <w:ind w:left="420" w:leftChars="200"/>
        <w:rPr>
          <w:rFonts w:ascii="方正仿宋_GBK" w:hAnsi="宋体" w:eastAsia="方正仿宋_GBK"/>
          <w:sz w:val="28"/>
          <w:szCs w:val="28"/>
        </w:rPr>
      </w:pPr>
      <w:r>
        <w:rPr>
          <w:rFonts w:hint="eastAsia" w:ascii="方正仿宋_GBK" w:hAnsi="宋体" w:eastAsia="方正仿宋_GBK"/>
          <w:sz w:val="28"/>
          <w:szCs w:val="28"/>
        </w:rPr>
        <w:t>（一）报价及费用结算币种：</w:t>
      </w:r>
      <w:r>
        <w:rPr>
          <w:rFonts w:hint="eastAsia" w:ascii="仿宋_GB2312" w:hAnsi="宋体" w:eastAsia="仿宋_GB2312"/>
          <w:b/>
          <w:bCs/>
          <w:sz w:val="28"/>
          <w:szCs w:val="28"/>
          <w:u w:val="single"/>
        </w:rPr>
        <w:t xml:space="preserve"> 人民币 </w:t>
      </w:r>
      <w:r>
        <w:rPr>
          <w:rFonts w:hint="eastAsia" w:ascii="仿宋_GB2312" w:hAnsi="宋体" w:eastAsia="仿宋_GB2312"/>
          <w:b/>
          <w:bCs/>
          <w:sz w:val="28"/>
          <w:szCs w:val="28"/>
        </w:rPr>
        <w:t>。</w:t>
      </w:r>
    </w:p>
    <w:p>
      <w:pPr>
        <w:spacing w:line="600" w:lineRule="exact"/>
        <w:ind w:left="420" w:leftChars="200"/>
        <w:rPr>
          <w:rFonts w:ascii="方正仿宋_GBK" w:hAnsi="宋体" w:eastAsia="方正仿宋_GBK"/>
          <w:sz w:val="28"/>
          <w:szCs w:val="28"/>
        </w:rPr>
      </w:pPr>
      <w:r>
        <w:rPr>
          <w:rFonts w:hint="eastAsia" w:ascii="方正仿宋_GBK" w:hAnsi="宋体" w:eastAsia="方正仿宋_GBK"/>
          <w:sz w:val="28"/>
          <w:szCs w:val="28"/>
        </w:rPr>
        <w:t>（二）供应商应严格按照“响应文件格式”中的格式填写报价。</w:t>
      </w:r>
    </w:p>
    <w:p>
      <w:pPr>
        <w:tabs>
          <w:tab w:val="left" w:pos="6300"/>
        </w:tabs>
        <w:spacing w:line="600" w:lineRule="exact"/>
        <w:ind w:firstLine="560"/>
        <w:rPr>
          <w:rFonts w:ascii="仿宋_GB2312" w:hAnsi="宋体" w:eastAsia="仿宋_GB2312"/>
          <w:b/>
          <w:color w:val="000000" w:themeColor="text1"/>
          <w:sz w:val="28"/>
          <w:szCs w:val="28"/>
          <w14:textFill>
            <w14:solidFill>
              <w14:schemeClr w14:val="tx1"/>
            </w14:solidFill>
          </w14:textFill>
        </w:rPr>
      </w:pPr>
      <w:r>
        <w:rPr>
          <w:rFonts w:hint="eastAsia" w:ascii="方正仿宋_GBK" w:eastAsia="方正仿宋_GBK"/>
          <w:b/>
          <w:color w:val="000000" w:themeColor="text1"/>
          <w:sz w:val="28"/>
          <w:szCs w:val="28"/>
          <w14:textFill>
            <w14:solidFill>
              <w14:schemeClr w14:val="tx1"/>
            </w14:solidFill>
          </w14:textFill>
        </w:rPr>
        <w:t>特别说明：本报价</w:t>
      </w:r>
      <w:r>
        <w:rPr>
          <w:rFonts w:hint="eastAsia" w:ascii="仿宋_GB2312" w:hAnsi="宋体" w:eastAsia="仿宋_GB2312"/>
          <w:b/>
          <w:color w:val="000000" w:themeColor="text1"/>
          <w:sz w:val="28"/>
          <w:szCs w:val="28"/>
          <w14:textFill>
            <w14:solidFill>
              <w14:schemeClr w14:val="tx1"/>
            </w14:solidFill>
          </w14:textFill>
        </w:rPr>
        <w:t>为完成项目所涉及的一切费用，含检验、运输、拆除安装、调试、测试、软件开发升级、检测验收、售后服务、市场物价上涨因素考虑以及税金（含增值税专用发票税金）等所有费用，按工程量据实结算，采购人实际支付金额不超过报价总金额。</w:t>
      </w:r>
    </w:p>
    <w:p>
      <w:pPr>
        <w:spacing w:line="600" w:lineRule="exact"/>
        <w:rPr>
          <w:rFonts w:ascii="仿宋_GB2312" w:hAnsi="宋体" w:eastAsia="仿宋_GB2312"/>
          <w:bCs/>
          <w:sz w:val="28"/>
          <w:szCs w:val="28"/>
        </w:rPr>
      </w:pPr>
      <w:r>
        <w:rPr>
          <w:rFonts w:hint="eastAsia" w:ascii="方正仿宋_GBK" w:hAnsi="宋体" w:eastAsia="方正仿宋_GBK"/>
          <w:sz w:val="28"/>
          <w:szCs w:val="28"/>
        </w:rPr>
        <w:t xml:space="preserve">    （三）</w:t>
      </w:r>
      <w:r>
        <w:rPr>
          <w:rFonts w:hint="eastAsia" w:ascii="仿宋_GB2312" w:hAnsi="宋体" w:eastAsia="仿宋_GB2312"/>
          <w:bCs/>
          <w:sz w:val="28"/>
          <w:szCs w:val="28"/>
        </w:rPr>
        <w:t xml:space="preserve"> 项目报价超过本次预算，导致采购人不能支付时，本次采购失败。</w:t>
      </w:r>
    </w:p>
    <w:p>
      <w:pPr>
        <w:numPr>
          <w:ilvl w:val="0"/>
          <w:numId w:val="2"/>
        </w:numPr>
        <w:spacing w:line="6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其他按实结算费用单价超过采购文件限价（详见本采购文件第五部分“响应文件格式”中的“报价明细表”），导致采购人不能支付时，本次采购失败。</w:t>
      </w:r>
    </w:p>
    <w:p>
      <w:pPr>
        <w:numPr>
          <w:ilvl w:val="0"/>
          <w:numId w:val="2"/>
        </w:numPr>
        <w:spacing w:line="6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费用支付：</w:t>
      </w:r>
    </w:p>
    <w:p>
      <w:pPr>
        <w:spacing w:line="600" w:lineRule="exact"/>
        <w:rPr>
          <w:rFonts w:ascii="仿宋_GB2312" w:hAnsi="宋体" w:eastAsia="仿宋_GB2312"/>
          <w:bCs/>
          <w:sz w:val="28"/>
          <w:szCs w:val="28"/>
        </w:rPr>
      </w:pPr>
      <w:r>
        <w:rPr>
          <w:rFonts w:hint="eastAsia" w:ascii="仿宋_GB2312" w:hAnsi="宋体" w:eastAsia="仿宋_GB2312"/>
          <w:bCs/>
          <w:sz w:val="28"/>
          <w:szCs w:val="28"/>
        </w:rPr>
        <w:t xml:space="preserve">    1.</w:t>
      </w:r>
      <w:r>
        <w:rPr>
          <w:rFonts w:hint="eastAsia" w:ascii="仿宋_GB2312" w:hAnsi="宋体" w:eastAsia="仿宋_GB2312"/>
          <w:bCs/>
          <w:color w:val="000000" w:themeColor="text1"/>
          <w:sz w:val="28"/>
          <w:szCs w:val="28"/>
          <w14:textFill>
            <w14:solidFill>
              <w14:schemeClr w14:val="tx1"/>
            </w14:solidFill>
          </w14:textFill>
        </w:rPr>
        <w:t>安装调试完毕后，在中标人提供具有专业资质的第三方检测机构</w:t>
      </w:r>
      <w:r>
        <w:rPr>
          <w:rFonts w:hint="eastAsia" w:ascii="仿宋_GB2312" w:hAnsi="宋体" w:eastAsia="仿宋_GB2312"/>
          <w:b/>
          <w:color w:val="000000" w:themeColor="text1"/>
          <w:sz w:val="28"/>
          <w:szCs w:val="28"/>
          <w14:textFill>
            <w14:solidFill>
              <w14:schemeClr w14:val="tx1"/>
            </w14:solidFill>
          </w14:textFill>
        </w:rPr>
        <w:t>{国家安全防范报警系统产品质量监督检验中心（北京）或国家安全防范报警系统产品质量监督检验中心（上海）}</w:t>
      </w:r>
      <w:r>
        <w:rPr>
          <w:rFonts w:hint="eastAsia" w:ascii="仿宋_GB2312" w:hAnsi="宋体" w:eastAsia="仿宋_GB2312"/>
          <w:bCs/>
          <w:sz w:val="28"/>
          <w:szCs w:val="28"/>
        </w:rPr>
        <w:t>出具的检测报告30日内，采购人根据实际工程量结算支付工程价款。</w:t>
      </w:r>
    </w:p>
    <w:p>
      <w:pPr>
        <w:spacing w:line="600" w:lineRule="exact"/>
        <w:ind w:firstLine="570"/>
        <w:rPr>
          <w:rFonts w:ascii="仿宋_GB2312" w:hAnsi="宋体" w:eastAsia="仿宋_GB2312"/>
          <w:bCs/>
          <w:sz w:val="28"/>
          <w:szCs w:val="28"/>
        </w:rPr>
      </w:pPr>
      <w:r>
        <w:rPr>
          <w:rFonts w:hint="eastAsia" w:ascii="仿宋_GB2312" w:hAnsi="宋体" w:eastAsia="仿宋_GB2312"/>
          <w:bCs/>
          <w:sz w:val="28"/>
          <w:szCs w:val="28"/>
        </w:rPr>
        <w:t>2.中标单位须提供相应金额的可全额抵扣的增值税专用发票。</w:t>
      </w:r>
    </w:p>
    <w:p>
      <w:pPr>
        <w:tabs>
          <w:tab w:val="left" w:pos="540"/>
          <w:tab w:val="left" w:pos="720"/>
        </w:tabs>
        <w:spacing w:line="600" w:lineRule="exact"/>
        <w:ind w:firstLine="560"/>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rPr>
        <w:t>九、竞争性磋商费用</w:t>
      </w:r>
    </w:p>
    <w:p>
      <w:pPr>
        <w:tabs>
          <w:tab w:val="left" w:pos="540"/>
          <w:tab w:val="left" w:pos="720"/>
          <w:tab w:val="left" w:pos="1260"/>
        </w:tabs>
        <w:adjustRightInd w:val="0"/>
        <w:snapToGrid w:val="0"/>
        <w:spacing w:line="600" w:lineRule="exact"/>
        <w:ind w:firstLine="560" w:firstLineChars="200"/>
        <w:rPr>
          <w:rFonts w:ascii="仿宋" w:hAnsi="仿宋" w:eastAsia="仿宋"/>
          <w:sz w:val="28"/>
          <w:szCs w:val="28"/>
        </w:rPr>
      </w:pPr>
      <w:r>
        <w:rPr>
          <w:rFonts w:hint="eastAsia" w:ascii="仿宋_GB2312" w:hAnsi="宋体" w:eastAsia="仿宋_GB2312"/>
          <w:sz w:val="28"/>
          <w:szCs w:val="28"/>
        </w:rPr>
        <w:t>（一）本次采购供应商需缴纳采购响应保证金。采购保证金在发出成交通知书后无息退还。</w:t>
      </w:r>
      <w:r>
        <w:rPr>
          <w:rFonts w:hint="eastAsia" w:ascii="仿宋" w:hAnsi="仿宋" w:eastAsia="仿宋"/>
          <w:sz w:val="28"/>
          <w:szCs w:val="28"/>
        </w:rPr>
        <w:t>采购响应保证金的缴纳具体要求如下：</w:t>
      </w:r>
    </w:p>
    <w:p>
      <w:pPr>
        <w:spacing w:line="600" w:lineRule="exact"/>
        <w:ind w:firstLine="560" w:firstLineChars="200"/>
        <w:jc w:val="left"/>
        <w:rPr>
          <w:rFonts w:ascii="仿宋" w:hAnsi="仿宋" w:eastAsia="仿宋"/>
          <w:b/>
          <w:color w:val="000000"/>
          <w:sz w:val="28"/>
          <w:szCs w:val="28"/>
        </w:rPr>
      </w:pPr>
      <w:r>
        <w:rPr>
          <w:rFonts w:hint="eastAsia" w:ascii="仿宋" w:hAnsi="仿宋" w:eastAsia="仿宋"/>
          <w:color w:val="000000"/>
          <w:sz w:val="28"/>
          <w:szCs w:val="28"/>
        </w:rPr>
        <w:t>1.采购响应保证金金额：</w:t>
      </w:r>
      <w:r>
        <w:rPr>
          <w:rFonts w:hint="eastAsia" w:ascii="仿宋" w:hAnsi="仿宋" w:eastAsia="仿宋"/>
          <w:color w:val="000000"/>
          <w:sz w:val="28"/>
          <w:szCs w:val="28"/>
          <w:u w:val="single"/>
        </w:rPr>
        <w:t xml:space="preserve"> </w:t>
      </w:r>
      <w:r>
        <w:rPr>
          <w:rFonts w:hint="eastAsia" w:ascii="仿宋" w:hAnsi="仿宋" w:eastAsia="仿宋"/>
          <w:b/>
          <w:color w:val="000000"/>
          <w:sz w:val="28"/>
          <w:szCs w:val="28"/>
          <w:u w:val="single"/>
        </w:rPr>
        <w:t xml:space="preserve">1万元 </w:t>
      </w:r>
      <w:r>
        <w:rPr>
          <w:rFonts w:hint="eastAsia" w:ascii="仿宋" w:hAnsi="仿宋" w:eastAsia="仿宋"/>
          <w:b/>
          <w:color w:val="000000"/>
          <w:sz w:val="28"/>
          <w:szCs w:val="28"/>
        </w:rPr>
        <w:t>。</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2.采购响应保证金提交方式：以银行转账或银行电汇形式提交，供应商可任选一种。</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3.提交时间和方式：采购响应保证金必须从供应商单位</w:t>
      </w:r>
      <w:r>
        <w:rPr>
          <w:rFonts w:hint="eastAsia" w:ascii="仿宋" w:hAnsi="仿宋" w:eastAsia="仿宋"/>
          <w:b/>
          <w:color w:val="000000"/>
          <w:sz w:val="28"/>
          <w:szCs w:val="28"/>
        </w:rPr>
        <w:t>基本账户</w:t>
      </w:r>
      <w:r>
        <w:rPr>
          <w:rFonts w:hint="eastAsia" w:ascii="仿宋" w:hAnsi="仿宋" w:eastAsia="仿宋"/>
          <w:color w:val="000000"/>
          <w:sz w:val="28"/>
          <w:szCs w:val="28"/>
        </w:rPr>
        <w:t>直接转（汇）入以下指定银行账户，其转（汇）款</w:t>
      </w:r>
      <w:r>
        <w:rPr>
          <w:rFonts w:hint="eastAsia" w:ascii="仿宋" w:hAnsi="仿宋" w:eastAsia="仿宋"/>
          <w:b/>
          <w:color w:val="000000"/>
          <w:sz w:val="28"/>
          <w:szCs w:val="28"/>
        </w:rPr>
        <w:t>到账截止时间为响应文件递交截止时间前3个小时</w:t>
      </w:r>
      <w:r>
        <w:rPr>
          <w:rFonts w:hint="eastAsia" w:ascii="仿宋" w:hAnsi="仿宋" w:eastAsia="仿宋"/>
          <w:color w:val="000000"/>
          <w:sz w:val="28"/>
          <w:szCs w:val="28"/>
        </w:rPr>
        <w:t>，若本采购文件规定的响应文件递交截止时间顺延，则采购响应保证金到账截止时间相应顺延。</w:t>
      </w:r>
    </w:p>
    <w:p>
      <w:pPr>
        <w:spacing w:line="600" w:lineRule="exact"/>
        <w:ind w:firstLine="560" w:firstLineChars="200"/>
        <w:rPr>
          <w:rFonts w:hint="eastAsia" w:ascii="仿宋" w:hAnsi="仿宋" w:eastAsia="仿宋"/>
          <w:bCs/>
          <w:color w:val="000000"/>
          <w:sz w:val="28"/>
          <w:szCs w:val="28"/>
          <w:lang w:val="en-US" w:eastAsia="zh-CN"/>
        </w:rPr>
      </w:pPr>
      <w:r>
        <w:rPr>
          <w:rFonts w:hint="eastAsia" w:ascii="仿宋" w:hAnsi="仿宋" w:eastAsia="仿宋"/>
          <w:bCs/>
          <w:color w:val="000000"/>
          <w:sz w:val="28"/>
          <w:szCs w:val="28"/>
        </w:rPr>
        <w:t>4.采购响应保证金指定账户：</w:t>
      </w:r>
    </w:p>
    <w:p>
      <w:pPr>
        <w:spacing w:line="600" w:lineRule="exact"/>
        <w:ind w:firstLine="560" w:firstLineChars="200"/>
        <w:rPr>
          <w:rFonts w:hint="eastAsia" w:ascii="仿宋" w:hAnsi="仿宋" w:eastAsia="仿宋"/>
          <w:sz w:val="28"/>
          <w:szCs w:val="28"/>
        </w:rPr>
      </w:pPr>
      <w:r>
        <w:rPr>
          <w:rFonts w:hint="eastAsia" w:ascii="仿宋" w:hAnsi="仿宋" w:eastAsia="仿宋"/>
          <w:sz w:val="28"/>
          <w:szCs w:val="28"/>
        </w:rPr>
        <w:t>提交户名：</w:t>
      </w:r>
      <w:r>
        <w:rPr>
          <w:rFonts w:hint="eastAsia" w:ascii="仿宋" w:hAnsi="仿宋" w:eastAsia="仿宋"/>
          <w:sz w:val="28"/>
          <w:szCs w:val="28"/>
          <w:lang w:val="en-US" w:eastAsia="zh-CN"/>
        </w:rPr>
        <w:t>重庆银行股份有限公司成都分行</w:t>
      </w:r>
    </w:p>
    <w:p>
      <w:pPr>
        <w:spacing w:line="600" w:lineRule="exact"/>
        <w:ind w:firstLine="560" w:firstLineChars="200"/>
        <w:rPr>
          <w:rFonts w:hint="eastAsia" w:ascii="仿宋" w:hAnsi="仿宋" w:eastAsia="仿宋"/>
          <w:sz w:val="28"/>
          <w:szCs w:val="28"/>
        </w:rPr>
      </w:pPr>
      <w:r>
        <w:rPr>
          <w:rFonts w:hint="eastAsia" w:ascii="仿宋" w:hAnsi="仿宋" w:eastAsia="仿宋"/>
          <w:sz w:val="28"/>
          <w:szCs w:val="28"/>
        </w:rPr>
        <w:t>开户行</w:t>
      </w:r>
      <w:r>
        <w:rPr>
          <w:rFonts w:hint="eastAsia" w:ascii="仿宋" w:hAnsi="仿宋" w:eastAsia="仿宋"/>
          <w:sz w:val="28"/>
          <w:szCs w:val="28"/>
          <w:lang w:eastAsia="zh-CN"/>
        </w:rPr>
        <w:t>：</w:t>
      </w:r>
      <w:r>
        <w:rPr>
          <w:rFonts w:hint="eastAsia" w:ascii="仿宋" w:hAnsi="仿宋" w:eastAsia="仿宋"/>
          <w:sz w:val="28"/>
          <w:szCs w:val="28"/>
          <w:lang w:val="en-US" w:eastAsia="zh-CN"/>
        </w:rPr>
        <w:t>重庆银行股份有限公司成都分行营业部</w:t>
      </w:r>
      <w:r>
        <w:rPr>
          <w:rFonts w:hint="eastAsia" w:ascii="仿宋" w:hAnsi="仿宋" w:eastAsia="仿宋"/>
          <w:sz w:val="28"/>
          <w:szCs w:val="28"/>
        </w:rPr>
        <w:t xml:space="preserve"> </w:t>
      </w:r>
    </w:p>
    <w:p>
      <w:pPr>
        <w:spacing w:line="600" w:lineRule="exact"/>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账  号：</w:t>
      </w:r>
      <w:r>
        <w:rPr>
          <w:rFonts w:hint="eastAsia" w:ascii="仿宋" w:hAnsi="仿宋" w:eastAsia="仿宋"/>
          <w:sz w:val="28"/>
          <w:szCs w:val="28"/>
          <w:lang w:val="en-US" w:eastAsia="zh-CN"/>
        </w:rPr>
        <w:t>850101040000587</w:t>
      </w:r>
    </w:p>
    <w:p>
      <w:pPr>
        <w:spacing w:line="600" w:lineRule="exact"/>
        <w:ind w:firstLine="560" w:firstLineChars="200"/>
        <w:rPr>
          <w:rFonts w:hint="eastAsia" w:ascii="仿宋" w:hAnsi="仿宋" w:eastAsia="仿宋"/>
          <w:sz w:val="28"/>
          <w:szCs w:val="28"/>
        </w:rPr>
      </w:pPr>
      <w:r>
        <w:rPr>
          <w:rFonts w:hint="eastAsia" w:ascii="仿宋" w:hAnsi="仿宋" w:eastAsia="仿宋"/>
          <w:sz w:val="28"/>
          <w:szCs w:val="28"/>
        </w:rPr>
        <w:t>行  号：</w:t>
      </w:r>
      <w:r>
        <w:rPr>
          <w:rFonts w:hint="eastAsia" w:ascii="仿宋" w:hAnsi="仿宋" w:eastAsia="仿宋"/>
          <w:sz w:val="28"/>
          <w:szCs w:val="28"/>
          <w:lang w:val="en-US" w:eastAsia="zh-CN"/>
        </w:rPr>
        <w:t>313651081065</w:t>
      </w:r>
    </w:p>
    <w:p>
      <w:pPr>
        <w:spacing w:line="60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转账中如有疑问，请咨询采购人。</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5.采购响应保证金有效期：90天。</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6.特别提示：请供应商务必仔细阅读下列条款：</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各供应商在银行转账（电汇）时，须充分考虑银行转账（电汇）的时间差风险，如同城转账、异地转账、跨行转账或电汇等所需的时间。采购响应保证金未在到账截止时间前汇入采购文件指定账户的风险由供应商自行承担。</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2）供应商应按采购文件的要求递交采购响应保证金，没有按时足额提交采购响应保证金或未从供应商基本账户提交采购响应保证金或采购响应保证金不是汇到上述指定账户的供应商递交的响应文件将视为不响应采购文件而予以拒绝。</w:t>
      </w:r>
    </w:p>
    <w:p>
      <w:pPr>
        <w:tabs>
          <w:tab w:val="left" w:pos="540"/>
          <w:tab w:val="left" w:pos="720"/>
          <w:tab w:val="left" w:pos="1260"/>
        </w:tabs>
        <w:adjustRightInd w:val="0"/>
        <w:snapToGrid w:val="0"/>
        <w:spacing w:line="600" w:lineRule="exact"/>
        <w:rPr>
          <w:rFonts w:ascii="仿宋_GB2312" w:hAnsi="宋体" w:eastAsia="仿宋_GB2312"/>
          <w:bCs/>
          <w:sz w:val="28"/>
          <w:szCs w:val="28"/>
        </w:rPr>
      </w:pPr>
      <w:r>
        <w:rPr>
          <w:rFonts w:hint="eastAsia" w:ascii="仿宋_GB2312" w:hAnsi="宋体" w:eastAsia="仿宋_GB2312"/>
          <w:bCs/>
          <w:sz w:val="28"/>
          <w:szCs w:val="28"/>
        </w:rPr>
        <w:t xml:space="preserve">    （二）无论供应商在磋商过程中的做法和结果如何,供应商须自行承担所有与本次采购相关的全部费用。</w:t>
      </w:r>
    </w:p>
    <w:p>
      <w:pPr>
        <w:tabs>
          <w:tab w:val="left" w:pos="540"/>
          <w:tab w:val="left" w:pos="720"/>
        </w:tabs>
        <w:spacing w:line="600" w:lineRule="exact"/>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rPr>
        <w:t xml:space="preserve">    十、递交竞争性磋商响应文件的时间及地点</w:t>
      </w:r>
    </w:p>
    <w:p>
      <w:pPr>
        <w:pStyle w:val="19"/>
        <w:spacing w:line="600" w:lineRule="exact"/>
        <w:ind w:left="570" w:firstLine="0" w:firstLineChars="0"/>
        <w:rPr>
          <w:rFonts w:ascii="方正仿宋_GBK" w:hAnsi="宋体" w:eastAsia="方正仿宋_GBK"/>
          <w:sz w:val="28"/>
          <w:szCs w:val="28"/>
        </w:rPr>
      </w:pPr>
      <w:r>
        <w:rPr>
          <w:rFonts w:hint="eastAsia" w:ascii="方正仿宋_GBK" w:hAnsi="宋体" w:eastAsia="方正仿宋_GBK"/>
          <w:sz w:val="28"/>
          <w:szCs w:val="28"/>
        </w:rPr>
        <w:t>详见本文件第一部分。</w:t>
      </w:r>
    </w:p>
    <w:p>
      <w:pPr>
        <w:tabs>
          <w:tab w:val="left" w:pos="540"/>
          <w:tab w:val="left" w:pos="720"/>
          <w:tab w:val="left" w:pos="900"/>
        </w:tabs>
        <w:spacing w:line="600" w:lineRule="exact"/>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rPr>
        <w:t xml:space="preserve">    十一、竞争性磋商及评审</w:t>
      </w:r>
    </w:p>
    <w:p>
      <w:pPr>
        <w:tabs>
          <w:tab w:val="left" w:pos="540"/>
          <w:tab w:val="left" w:pos="720"/>
          <w:tab w:val="left" w:pos="1080"/>
        </w:tabs>
        <w:spacing w:line="600" w:lineRule="exact"/>
        <w:ind w:left="54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（一）磋商程序</w:t>
      </w:r>
    </w:p>
    <w:p>
      <w:pPr>
        <w:tabs>
          <w:tab w:val="left" w:pos="540"/>
          <w:tab w:val="left" w:pos="720"/>
        </w:tabs>
        <w:spacing w:line="600" w:lineRule="exact"/>
        <w:ind w:firstLine="562" w:firstLineChars="200"/>
        <w:rPr>
          <w:rFonts w:ascii="方正仿宋_GBK" w:hAnsi="宋体" w:eastAsia="方正仿宋_GBK"/>
          <w:b/>
          <w:sz w:val="28"/>
          <w:szCs w:val="28"/>
        </w:rPr>
      </w:pPr>
      <w:r>
        <w:rPr>
          <w:rFonts w:hint="eastAsia" w:ascii="方正仿宋_GBK" w:hAnsi="宋体" w:eastAsia="方正仿宋_GBK"/>
          <w:b/>
          <w:sz w:val="28"/>
          <w:szCs w:val="28"/>
        </w:rPr>
        <w:t>1. 初步评审</w:t>
      </w:r>
    </w:p>
    <w:p>
      <w:pPr>
        <w:tabs>
          <w:tab w:val="left" w:pos="0"/>
          <w:tab w:val="left" w:pos="540"/>
          <w:tab w:val="left" w:pos="1260"/>
        </w:tabs>
        <w:spacing w:line="600" w:lineRule="exact"/>
        <w:rPr>
          <w:rFonts w:ascii="方正仿宋_GBK" w:hAnsi="宋体" w:eastAsia="方正仿宋_GBK"/>
          <w:sz w:val="28"/>
          <w:szCs w:val="28"/>
        </w:rPr>
      </w:pPr>
      <w:r>
        <w:rPr>
          <w:rFonts w:hint="eastAsia" w:ascii="方正仿宋_GBK" w:hAnsi="宋体" w:eastAsia="方正仿宋_GBK"/>
          <w:sz w:val="28"/>
          <w:szCs w:val="28"/>
        </w:rPr>
        <w:t xml:space="preserve">    （1）核验参加磋商的供应商的法定代表人或委托代理人本人身份证（原件），核验被授权代理人的授权委托书（原件），以确认其身份合法有效；</w:t>
      </w:r>
    </w:p>
    <w:p>
      <w:pPr>
        <w:tabs>
          <w:tab w:val="left" w:pos="0"/>
          <w:tab w:val="left" w:pos="540"/>
          <w:tab w:val="left" w:pos="1260"/>
        </w:tabs>
        <w:spacing w:line="600" w:lineRule="exact"/>
        <w:rPr>
          <w:rFonts w:ascii="方正仿宋_GBK" w:hAnsi="宋体" w:eastAsia="方正仿宋_GBK"/>
          <w:sz w:val="28"/>
          <w:szCs w:val="28"/>
        </w:rPr>
      </w:pPr>
      <w:r>
        <w:rPr>
          <w:rFonts w:hint="eastAsia" w:ascii="方正仿宋_GBK" w:hAnsi="宋体" w:eastAsia="方正仿宋_GBK"/>
          <w:sz w:val="28"/>
          <w:szCs w:val="28"/>
        </w:rPr>
        <w:t xml:space="preserve">    （2）核验供应商的资格、磋商响应文件的签署、磋商响应文件的完整性、磋商响应文件的符合性。响应文件有下列情况之一，其响应文件无效，其供应商不再参与后续磋商:</w:t>
      </w:r>
    </w:p>
    <w:p>
      <w:pPr>
        <w:tabs>
          <w:tab w:val="left" w:pos="540"/>
          <w:tab w:val="left" w:pos="1843"/>
          <w:tab w:val="left" w:pos="1985"/>
        </w:tabs>
        <w:spacing w:line="600" w:lineRule="exact"/>
        <w:ind w:left="1133" w:leftChars="405" w:hanging="283" w:hangingChars="101"/>
        <w:jc w:val="left"/>
        <w:rPr>
          <w:rFonts w:ascii="方正仿宋_GBK" w:hAnsi="宋体" w:eastAsia="方正仿宋_GBK"/>
          <w:sz w:val="28"/>
          <w:szCs w:val="28"/>
        </w:rPr>
      </w:pPr>
      <w:r>
        <w:rPr>
          <w:rFonts w:hint="eastAsia" w:ascii="方正仿宋_GBK" w:hAnsi="宋体" w:eastAsia="方正仿宋_GBK"/>
          <w:sz w:val="28"/>
          <w:szCs w:val="28"/>
        </w:rPr>
        <w:t>a. 供应商提供的货物或服务不满足采购文件实质性要求的;</w:t>
      </w:r>
    </w:p>
    <w:p>
      <w:pPr>
        <w:tabs>
          <w:tab w:val="left" w:pos="540"/>
          <w:tab w:val="left" w:pos="1843"/>
          <w:tab w:val="left" w:pos="1985"/>
        </w:tabs>
        <w:spacing w:line="600" w:lineRule="exact"/>
        <w:ind w:left="1133" w:leftChars="405" w:hanging="283" w:hangingChars="101"/>
        <w:jc w:val="left"/>
        <w:rPr>
          <w:rFonts w:ascii="方正仿宋_GBK" w:hAnsi="宋体" w:eastAsia="方正仿宋_GBK"/>
          <w:sz w:val="28"/>
          <w:szCs w:val="28"/>
        </w:rPr>
      </w:pPr>
      <w:r>
        <w:rPr>
          <w:rFonts w:hint="eastAsia" w:ascii="方正仿宋_GBK" w:hAnsi="宋体" w:eastAsia="方正仿宋_GBK"/>
          <w:sz w:val="28"/>
          <w:szCs w:val="28"/>
        </w:rPr>
        <w:t>b. 没有按时足额提交磋商保证金或未从供应商基本账户提交磋商保证金的（采购文件没有要求提交响应保证金的除外）；</w:t>
      </w:r>
    </w:p>
    <w:p>
      <w:pPr>
        <w:tabs>
          <w:tab w:val="left" w:pos="540"/>
          <w:tab w:val="left" w:pos="1843"/>
          <w:tab w:val="left" w:pos="1985"/>
        </w:tabs>
        <w:spacing w:line="600" w:lineRule="exact"/>
        <w:ind w:left="1133" w:leftChars="405" w:hanging="283" w:hangingChars="101"/>
        <w:jc w:val="left"/>
        <w:rPr>
          <w:rFonts w:ascii="方正仿宋_GBK" w:hAnsi="宋体" w:eastAsia="方正仿宋_GBK"/>
          <w:sz w:val="28"/>
          <w:szCs w:val="28"/>
        </w:rPr>
      </w:pPr>
      <w:r>
        <w:rPr>
          <w:rFonts w:hint="eastAsia" w:ascii="方正仿宋_GBK" w:hAnsi="宋体" w:eastAsia="方正仿宋_GBK"/>
          <w:sz w:val="28"/>
          <w:szCs w:val="28"/>
        </w:rPr>
        <w:t>c. 未按照磋商文件规定要求密封、签署、盖章的；</w:t>
      </w:r>
    </w:p>
    <w:p>
      <w:pPr>
        <w:tabs>
          <w:tab w:val="left" w:pos="540"/>
          <w:tab w:val="left" w:pos="1843"/>
          <w:tab w:val="left" w:pos="1985"/>
        </w:tabs>
        <w:spacing w:line="600" w:lineRule="exact"/>
        <w:ind w:left="1133" w:leftChars="405" w:hanging="283" w:hangingChars="101"/>
        <w:jc w:val="left"/>
        <w:rPr>
          <w:rFonts w:ascii="方正仿宋_GBK" w:hAnsi="宋体" w:eastAsia="方正仿宋_GBK"/>
          <w:sz w:val="28"/>
          <w:szCs w:val="28"/>
        </w:rPr>
      </w:pPr>
      <w:r>
        <w:rPr>
          <w:rFonts w:hint="eastAsia" w:ascii="方正仿宋_GBK" w:hAnsi="宋体" w:eastAsia="方正仿宋_GBK"/>
          <w:sz w:val="28"/>
          <w:szCs w:val="28"/>
        </w:rPr>
        <w:t>d. 未按照磋商文件规定提供资格证明材料的；</w:t>
      </w:r>
    </w:p>
    <w:p>
      <w:pPr>
        <w:tabs>
          <w:tab w:val="left" w:pos="540"/>
          <w:tab w:val="left" w:pos="1843"/>
          <w:tab w:val="left" w:pos="1985"/>
        </w:tabs>
        <w:spacing w:line="600" w:lineRule="exact"/>
        <w:ind w:left="1133" w:leftChars="405" w:hanging="283" w:hangingChars="101"/>
        <w:jc w:val="left"/>
        <w:rPr>
          <w:rFonts w:ascii="方正仿宋_GBK" w:hAnsi="宋体" w:eastAsia="方正仿宋_GBK"/>
          <w:sz w:val="28"/>
          <w:szCs w:val="28"/>
        </w:rPr>
      </w:pPr>
      <w:r>
        <w:rPr>
          <w:rFonts w:hint="eastAsia" w:ascii="方正仿宋_GBK" w:hAnsi="宋体" w:eastAsia="方正仿宋_GBK"/>
          <w:sz w:val="28"/>
          <w:szCs w:val="28"/>
        </w:rPr>
        <w:t>e. 《技术/商务响应与偏离表》中出现应答“负偏离”或出现应答内容经评委认定为“负偏离”的；</w:t>
      </w:r>
    </w:p>
    <w:p>
      <w:pPr>
        <w:tabs>
          <w:tab w:val="left" w:pos="540"/>
          <w:tab w:val="left" w:pos="1843"/>
          <w:tab w:val="left" w:pos="1985"/>
        </w:tabs>
        <w:spacing w:line="600" w:lineRule="exact"/>
        <w:ind w:left="1133" w:leftChars="405" w:hanging="283" w:hangingChars="101"/>
        <w:jc w:val="left"/>
        <w:rPr>
          <w:rFonts w:ascii="方正仿宋_GBK" w:hAnsi="宋体" w:eastAsia="方正仿宋_GBK"/>
          <w:sz w:val="28"/>
          <w:szCs w:val="28"/>
        </w:rPr>
      </w:pPr>
      <w:r>
        <w:rPr>
          <w:rFonts w:hint="eastAsia" w:ascii="方正仿宋_GBK" w:hAnsi="宋体" w:eastAsia="方正仿宋_GBK"/>
          <w:sz w:val="28"/>
          <w:szCs w:val="28"/>
        </w:rPr>
        <w:t>f. 报价高于项目预算的；</w:t>
      </w:r>
    </w:p>
    <w:p>
      <w:pPr>
        <w:tabs>
          <w:tab w:val="left" w:pos="540"/>
          <w:tab w:val="left" w:pos="1843"/>
          <w:tab w:val="left" w:pos="1985"/>
        </w:tabs>
        <w:spacing w:line="600" w:lineRule="exact"/>
        <w:ind w:left="1133" w:leftChars="405" w:hanging="283" w:hangingChars="101"/>
        <w:jc w:val="left"/>
        <w:rPr>
          <w:rFonts w:ascii="方正仿宋_GBK" w:hAnsi="宋体" w:eastAsia="方正仿宋_GBK"/>
          <w:sz w:val="28"/>
          <w:szCs w:val="28"/>
        </w:rPr>
      </w:pPr>
      <w:r>
        <w:rPr>
          <w:rFonts w:hint="eastAsia" w:ascii="方正仿宋_GBK" w:hAnsi="宋体" w:eastAsia="方正仿宋_GBK"/>
          <w:sz w:val="28"/>
          <w:szCs w:val="28"/>
        </w:rPr>
        <w:t>g. 其他不符合法律、规章、规范性文件和磋商文件规定的。</w:t>
      </w:r>
    </w:p>
    <w:p>
      <w:pPr>
        <w:tabs>
          <w:tab w:val="left" w:pos="0"/>
          <w:tab w:val="left" w:pos="540"/>
        </w:tabs>
        <w:spacing w:line="600" w:lineRule="exact"/>
        <w:ind w:firstLine="562" w:firstLineChars="200"/>
        <w:rPr>
          <w:rFonts w:ascii="方正仿宋_GBK" w:hAnsi="宋体" w:eastAsia="方正仿宋_GBK"/>
          <w:b/>
          <w:sz w:val="28"/>
          <w:szCs w:val="28"/>
        </w:rPr>
      </w:pPr>
      <w:r>
        <w:rPr>
          <w:rFonts w:hint="eastAsia" w:ascii="方正仿宋_GBK" w:hAnsi="宋体" w:eastAsia="方正仿宋_GBK"/>
          <w:b/>
          <w:sz w:val="28"/>
          <w:szCs w:val="28"/>
        </w:rPr>
        <w:t xml:space="preserve"> 2. 磋商</w:t>
      </w:r>
    </w:p>
    <w:p>
      <w:pPr>
        <w:tabs>
          <w:tab w:val="left" w:pos="0"/>
          <w:tab w:val="left" w:pos="540"/>
          <w:tab w:val="left" w:pos="1080"/>
        </w:tabs>
        <w:spacing w:line="600" w:lineRule="exact"/>
        <w:ind w:firstLine="560"/>
        <w:rPr>
          <w:rFonts w:ascii="方正仿宋_GBK" w:hAnsi="宋体" w:eastAsia="方正仿宋_GBK"/>
          <w:sz w:val="28"/>
          <w:szCs w:val="28"/>
        </w:rPr>
      </w:pPr>
      <w:r>
        <w:rPr>
          <w:rFonts w:hint="eastAsia" w:ascii="方正仿宋_GBK" w:hAnsi="宋体" w:eastAsia="方正仿宋_GBK"/>
          <w:sz w:val="28"/>
          <w:szCs w:val="28"/>
        </w:rPr>
        <w:t>（1）评委全体成员与供应商</w:t>
      </w:r>
      <w:r>
        <w:rPr>
          <w:rFonts w:hint="eastAsia" w:ascii="仿宋_GB2312" w:hAnsi="宋体" w:eastAsia="仿宋_GB2312"/>
          <w:sz w:val="28"/>
          <w:szCs w:val="28"/>
        </w:rPr>
        <w:t>就技术参数、质量保证、价格情况、售后服务及合同条款等分别进行磋商</w:t>
      </w:r>
      <w:r>
        <w:rPr>
          <w:rFonts w:hint="eastAsia" w:ascii="方正仿宋_GBK" w:hAnsi="宋体" w:eastAsia="方正仿宋_GBK"/>
          <w:sz w:val="28"/>
          <w:szCs w:val="28"/>
        </w:rPr>
        <w:t>。</w:t>
      </w:r>
    </w:p>
    <w:p>
      <w:pPr>
        <w:tabs>
          <w:tab w:val="left" w:pos="0"/>
          <w:tab w:val="left" w:pos="540"/>
          <w:tab w:val="left" w:pos="1080"/>
        </w:tabs>
        <w:spacing w:line="600" w:lineRule="exact"/>
        <w:ind w:firstLine="560"/>
        <w:rPr>
          <w:rFonts w:ascii="方正仿宋_GBK" w:hAnsi="宋体" w:eastAsia="方正仿宋_GBK"/>
          <w:b/>
          <w:bCs/>
          <w:sz w:val="28"/>
          <w:szCs w:val="28"/>
        </w:rPr>
      </w:pPr>
      <w:r>
        <w:rPr>
          <w:rFonts w:hint="eastAsia" w:ascii="方正仿宋_GBK" w:hAnsi="宋体" w:eastAsia="方正仿宋_GBK"/>
          <w:b/>
          <w:bCs/>
          <w:sz w:val="28"/>
          <w:szCs w:val="28"/>
        </w:rPr>
        <w:t>注：逐家磋商一次为一个轮次，磋商轮次由评审委员会视情况决定。</w:t>
      </w:r>
    </w:p>
    <w:p>
      <w:pPr>
        <w:tabs>
          <w:tab w:val="left" w:pos="0"/>
          <w:tab w:val="left" w:pos="540"/>
          <w:tab w:val="left" w:pos="1080"/>
        </w:tabs>
        <w:spacing w:line="600" w:lineRule="exact"/>
        <w:ind w:firstLine="560" w:firstLineChars="200"/>
        <w:rPr>
          <w:rFonts w:ascii="方正仿宋_GBK" w:hAnsi="宋体" w:eastAsia="方正仿宋_GBK"/>
          <w:b/>
          <w:sz w:val="28"/>
          <w:szCs w:val="28"/>
        </w:rPr>
      </w:pPr>
      <w:r>
        <w:rPr>
          <w:rFonts w:hint="eastAsia" w:ascii="方正仿宋_GBK" w:hAnsi="宋体" w:eastAsia="方正仿宋_GBK"/>
          <w:sz w:val="28"/>
          <w:szCs w:val="28"/>
        </w:rPr>
        <w:t>（2）评委对供应商磋商响应文件中含义不明确、同类问题表述不一致或有明显文字和计算错误的可以要求供应商以书面形式加以澄清、说明或纠正，并要求其授权代表签字确认。</w:t>
      </w:r>
    </w:p>
    <w:p>
      <w:pPr>
        <w:tabs>
          <w:tab w:val="left" w:pos="0"/>
          <w:tab w:val="left" w:pos="540"/>
          <w:tab w:val="left" w:pos="1080"/>
        </w:tabs>
        <w:spacing w:line="60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（3）采购人保留在正式的磋商中修改部分磋商条件的权利。</w:t>
      </w:r>
      <w:r>
        <w:rPr>
          <w:rFonts w:hint="eastAsia" w:ascii="方正仿宋_GBK" w:hAnsi="宋体" w:eastAsia="方正仿宋_GBK"/>
          <w:sz w:val="28"/>
          <w:szCs w:val="28"/>
        </w:rPr>
        <w:t>竞争性磋商文件如有实质性变动的，须经评审委员半数以上成员同意并签字确认后，由分行采购委以书面形式通知参加磋商的供应商，并要求其授权代表签字确认（如不签字确认即被认为拒绝修改并放弃磋商）。</w:t>
      </w:r>
    </w:p>
    <w:p>
      <w:pPr>
        <w:tabs>
          <w:tab w:val="left" w:pos="540"/>
          <w:tab w:val="left" w:pos="720"/>
        </w:tabs>
        <w:spacing w:line="600" w:lineRule="exact"/>
        <w:ind w:firstLine="562" w:firstLineChars="200"/>
        <w:rPr>
          <w:rFonts w:ascii="方正仿宋_GBK" w:hAnsi="宋体" w:eastAsia="方正仿宋_GBK"/>
          <w:b/>
          <w:sz w:val="28"/>
          <w:szCs w:val="28"/>
        </w:rPr>
      </w:pPr>
      <w:r>
        <w:rPr>
          <w:rFonts w:hint="eastAsia" w:ascii="方正仿宋_GBK" w:hAnsi="宋体" w:eastAsia="方正仿宋_GBK"/>
          <w:b/>
          <w:sz w:val="28"/>
          <w:szCs w:val="28"/>
        </w:rPr>
        <w:t>3. 最终服务方案和最终报价</w:t>
      </w:r>
    </w:p>
    <w:p>
      <w:pPr>
        <w:tabs>
          <w:tab w:val="left" w:pos="540"/>
          <w:tab w:val="left" w:pos="720"/>
        </w:tabs>
        <w:spacing w:line="600" w:lineRule="exact"/>
        <w:ind w:firstLine="560" w:firstLineChars="200"/>
        <w:rPr>
          <w:rFonts w:ascii="方正仿宋_GBK" w:hAnsi="宋体" w:eastAsia="方正仿宋_GBK"/>
          <w:b/>
          <w:sz w:val="28"/>
          <w:szCs w:val="28"/>
        </w:rPr>
      </w:pPr>
      <w:r>
        <w:rPr>
          <w:rFonts w:hint="eastAsia" w:ascii="方正仿宋_GBK" w:hAnsi="宋体" w:eastAsia="方正仿宋_GBK"/>
          <w:sz w:val="28"/>
          <w:szCs w:val="28"/>
        </w:rPr>
        <w:t>供应商应根据竞争性磋商文件、补遗书（若有）及相关书面通知与评委磋商后，在规定的时间内书面报出最终服务方案、服务承诺和最终报价。供应商在磋商时做出的所有书面承诺及报价须由其法定代表人或授权代理人签字确认。</w:t>
      </w:r>
      <w:r>
        <w:rPr>
          <w:rFonts w:hint="eastAsia" w:ascii="方正仿宋_GBK" w:eastAsia="方正仿宋_GBK"/>
          <w:sz w:val="28"/>
          <w:szCs w:val="28"/>
        </w:rPr>
        <w:t>原则上</w:t>
      </w:r>
      <w:r>
        <w:rPr>
          <w:rFonts w:hint="eastAsia" w:ascii="方正仿宋_GBK" w:hAnsi="宋体" w:eastAsia="方正仿宋_GBK"/>
          <w:sz w:val="28"/>
          <w:szCs w:val="28"/>
        </w:rPr>
        <w:t>最终报价不能更改。在规定时间内未提交最终服务方案、服务承诺和最终报价的供应商视为放弃本次磋商。</w:t>
      </w:r>
      <w:r>
        <w:rPr>
          <w:rFonts w:hint="eastAsia" w:ascii="方正仿宋_GBK" w:hAnsi="宋体" w:eastAsia="方正仿宋_GBK"/>
          <w:b/>
          <w:bCs/>
          <w:sz w:val="28"/>
          <w:szCs w:val="28"/>
        </w:rPr>
        <w:t>供应商可以进行2次报价，</w:t>
      </w:r>
      <w:r>
        <w:rPr>
          <w:rFonts w:hint="eastAsia" w:ascii="方正仿宋_GBK" w:hAnsi="宋体" w:eastAsia="方正仿宋_GBK"/>
          <w:b/>
          <w:sz w:val="28"/>
          <w:szCs w:val="28"/>
        </w:rPr>
        <w:t>在磋商实质性内容不变的情况下，最终报价不能高于第一次报价，否则其报价将作为无效报价处理。</w:t>
      </w:r>
    </w:p>
    <w:p>
      <w:pPr>
        <w:tabs>
          <w:tab w:val="left" w:pos="540"/>
          <w:tab w:val="left" w:pos="720"/>
        </w:tabs>
        <w:spacing w:line="600" w:lineRule="exact"/>
        <w:ind w:firstLine="562" w:firstLineChars="200"/>
        <w:rPr>
          <w:rFonts w:ascii="方正仿宋_GBK" w:hAnsi="宋体" w:eastAsia="方正仿宋_GBK"/>
          <w:b/>
          <w:sz w:val="28"/>
          <w:szCs w:val="28"/>
        </w:rPr>
      </w:pPr>
      <w:r>
        <w:rPr>
          <w:rFonts w:hint="eastAsia" w:ascii="方正仿宋_GBK" w:hAnsi="宋体" w:eastAsia="方正仿宋_GBK"/>
          <w:b/>
          <w:sz w:val="28"/>
          <w:szCs w:val="28"/>
        </w:rPr>
        <w:t>注意：在磋商过程中，供应商在最终报价环节若对总报价进行了下浮（和第一次报价相比），则最终的各项单价同比例下浮,在结算时按最终同比例下浮后的单价进行结算。</w:t>
      </w:r>
    </w:p>
    <w:p>
      <w:pPr>
        <w:tabs>
          <w:tab w:val="left" w:pos="540"/>
          <w:tab w:val="left" w:pos="720"/>
        </w:tabs>
        <w:spacing w:line="600" w:lineRule="exact"/>
        <w:ind w:firstLine="562" w:firstLineChars="200"/>
        <w:rPr>
          <w:rFonts w:ascii="方正仿宋_GBK" w:hAnsi="宋体" w:eastAsia="方正仿宋_GBK"/>
          <w:b/>
          <w:sz w:val="28"/>
          <w:szCs w:val="28"/>
        </w:rPr>
      </w:pPr>
      <w:r>
        <w:rPr>
          <w:rFonts w:hint="eastAsia" w:ascii="方正仿宋_GBK" w:hAnsi="宋体" w:eastAsia="方正仿宋_GBK"/>
          <w:b/>
          <w:sz w:val="28"/>
          <w:szCs w:val="28"/>
        </w:rPr>
        <w:t>4. 详细评审</w:t>
      </w:r>
    </w:p>
    <w:p>
      <w:pPr>
        <w:widowControl/>
        <w:spacing w:line="6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分行采购委对供应商的最终服务方案、服务承诺和最终报价进行详细评审。</w:t>
      </w:r>
    </w:p>
    <w:p>
      <w:pPr>
        <w:widowControl/>
        <w:spacing w:line="6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本项目采用综合评分法评审。评审委员会对满足采购文件实质性要求的响应文件，按照规定的评分标准进行打分，评分细则如下：</w:t>
      </w:r>
    </w:p>
    <w:tbl>
      <w:tblPr>
        <w:tblStyle w:val="15"/>
        <w:tblpPr w:leftFromText="180" w:rightFromText="180" w:vertAnchor="text" w:horzAnchor="page" w:tblpX="1698" w:tblpY="255"/>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95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5" w:type="dxa"/>
            <w:shd w:val="clear" w:color="auto" w:fill="F1F1F1" w:themeFill="background1" w:themeFillShade="F2"/>
            <w:vAlign w:val="center"/>
          </w:tcPr>
          <w:p>
            <w:pPr>
              <w:tabs>
                <w:tab w:val="left" w:pos="2835"/>
              </w:tabs>
              <w:snapToGrid w:val="0"/>
              <w:jc w:val="center"/>
              <w:rPr>
                <w:rFonts w:ascii="方正黑体_GBK" w:hAnsi="宋体" w:eastAsia="方正黑体_GBK"/>
                <w:sz w:val="28"/>
                <w:szCs w:val="28"/>
              </w:rPr>
            </w:pPr>
            <w:r>
              <w:rPr>
                <w:rFonts w:hint="eastAsia" w:ascii="方正黑体_GBK" w:hAnsi="宋体" w:eastAsia="方正黑体_GBK"/>
                <w:sz w:val="28"/>
                <w:szCs w:val="28"/>
              </w:rPr>
              <w:t>评审</w:t>
            </w:r>
          </w:p>
          <w:p>
            <w:pPr>
              <w:tabs>
                <w:tab w:val="left" w:pos="2835"/>
              </w:tabs>
              <w:snapToGrid w:val="0"/>
              <w:jc w:val="center"/>
              <w:rPr>
                <w:rFonts w:ascii="方正黑体_GBK" w:hAnsi="宋体" w:eastAsia="方正黑体_GBK"/>
                <w:sz w:val="28"/>
                <w:szCs w:val="28"/>
              </w:rPr>
            </w:pPr>
            <w:r>
              <w:rPr>
                <w:rFonts w:hint="eastAsia" w:ascii="方正黑体_GBK" w:hAnsi="宋体" w:eastAsia="方正黑体_GBK"/>
                <w:sz w:val="28"/>
                <w:szCs w:val="28"/>
              </w:rPr>
              <w:t>项目</w:t>
            </w:r>
          </w:p>
        </w:tc>
        <w:tc>
          <w:tcPr>
            <w:tcW w:w="953" w:type="dxa"/>
            <w:shd w:val="clear" w:color="auto" w:fill="F1F1F1" w:themeFill="background1" w:themeFillShade="F2"/>
            <w:vAlign w:val="center"/>
          </w:tcPr>
          <w:p>
            <w:pPr>
              <w:tabs>
                <w:tab w:val="left" w:pos="2835"/>
              </w:tabs>
              <w:snapToGrid w:val="0"/>
              <w:jc w:val="center"/>
              <w:rPr>
                <w:rFonts w:ascii="方正黑体_GBK" w:hAnsi="宋体" w:eastAsia="方正黑体_GBK"/>
                <w:sz w:val="28"/>
                <w:szCs w:val="28"/>
              </w:rPr>
            </w:pPr>
            <w:r>
              <w:rPr>
                <w:rFonts w:hint="eastAsia" w:ascii="方正黑体_GBK" w:hAnsi="宋体" w:eastAsia="方正黑体_GBK"/>
                <w:sz w:val="28"/>
                <w:szCs w:val="28"/>
              </w:rPr>
              <w:t>分值</w:t>
            </w:r>
          </w:p>
        </w:tc>
        <w:tc>
          <w:tcPr>
            <w:tcW w:w="6662" w:type="dxa"/>
            <w:shd w:val="clear" w:color="auto" w:fill="F1F1F1" w:themeFill="background1" w:themeFillShade="F2"/>
            <w:vAlign w:val="center"/>
          </w:tcPr>
          <w:p>
            <w:pPr>
              <w:tabs>
                <w:tab w:val="left" w:pos="2835"/>
              </w:tabs>
              <w:snapToGrid w:val="0"/>
              <w:jc w:val="center"/>
              <w:rPr>
                <w:rFonts w:ascii="方正黑体_GBK" w:hAnsi="宋体" w:eastAsia="方正黑体_GBK"/>
                <w:sz w:val="28"/>
                <w:szCs w:val="28"/>
              </w:rPr>
            </w:pPr>
            <w:r>
              <w:rPr>
                <w:rFonts w:hint="eastAsia" w:ascii="方正黑体_GBK" w:hAnsi="宋体" w:eastAsia="方正黑体_GBK"/>
                <w:sz w:val="28"/>
                <w:szCs w:val="28"/>
              </w:rPr>
              <w:t>评审标准及评审内容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565" w:type="dxa"/>
            <w:shd w:val="clear" w:color="auto" w:fill="FFFFFF" w:themeFill="background1"/>
            <w:vAlign w:val="center"/>
          </w:tcPr>
          <w:p>
            <w:pPr>
              <w:tabs>
                <w:tab w:val="left" w:pos="2835"/>
              </w:tabs>
              <w:snapToGrid w:val="0"/>
              <w:jc w:val="center"/>
              <w:rPr>
                <w:rFonts w:hint="eastAsia" w:ascii="方正仿宋_GBK" w:hAnsi="宋体" w:eastAsia="方正仿宋_GBK"/>
                <w:color w:val="000000" w:themeColor="text1"/>
                <w:sz w:val="28"/>
                <w:szCs w:val="28"/>
                <w:shd w:val="clear" w:color="auto" w:fill="auto"/>
                <w:lang w:val="en-US" w:eastAsia="zh-CN"/>
                <w14:textFill>
                  <w14:solidFill>
                    <w14:schemeClr w14:val="tx1"/>
                  </w14:solidFill>
                </w14:textFill>
              </w:rPr>
            </w:pPr>
            <w:r>
              <w:rPr>
                <w:rFonts w:hint="eastAsia" w:ascii="方正仿宋_GBK" w:hAnsi="宋体" w:eastAsia="方正仿宋_GBK"/>
                <w:color w:val="000000" w:themeColor="text1"/>
                <w:sz w:val="28"/>
                <w:szCs w:val="28"/>
                <w:shd w:val="clear" w:color="auto" w:fill="auto"/>
                <w:lang w:val="en-US" w:eastAsia="zh-CN"/>
                <w14:textFill>
                  <w14:solidFill>
                    <w14:schemeClr w14:val="tx1"/>
                  </w14:solidFill>
                </w14:textFill>
              </w:rPr>
              <w:t>符合性</w:t>
            </w:r>
          </w:p>
          <w:p>
            <w:pPr>
              <w:tabs>
                <w:tab w:val="left" w:pos="2835"/>
              </w:tabs>
              <w:snapToGrid w:val="0"/>
              <w:jc w:val="center"/>
              <w:rPr>
                <w:rFonts w:hint="eastAsia" w:ascii="方正黑体_GBK" w:hAnsi="宋体" w:eastAsia="方正黑体_GBK"/>
                <w:color w:val="000000" w:themeColor="text1"/>
                <w:sz w:val="28"/>
                <w:szCs w:val="28"/>
                <w:shd w:val="clear" w:color="auto" w:fill="auto"/>
                <w:lang w:val="en-US" w:eastAsia="zh-CN"/>
                <w14:textFill>
                  <w14:solidFill>
                    <w14:schemeClr w14:val="tx1"/>
                  </w14:solidFill>
                </w14:textFill>
              </w:rPr>
            </w:pPr>
            <w:r>
              <w:rPr>
                <w:rFonts w:hint="eastAsia" w:ascii="方正仿宋_GBK" w:hAnsi="宋体" w:eastAsia="方正仿宋_GBK"/>
                <w:color w:val="000000" w:themeColor="text1"/>
                <w:sz w:val="28"/>
                <w:szCs w:val="28"/>
                <w:shd w:val="clear" w:color="auto" w:fill="auto"/>
                <w:lang w:val="en-US" w:eastAsia="zh-CN"/>
                <w14:textFill>
                  <w14:solidFill>
                    <w14:schemeClr w14:val="tx1"/>
                  </w14:solidFill>
                </w14:textFill>
              </w:rPr>
              <w:t>评审</w:t>
            </w:r>
          </w:p>
        </w:tc>
        <w:tc>
          <w:tcPr>
            <w:tcW w:w="953" w:type="dxa"/>
            <w:shd w:val="clear" w:color="auto" w:fill="FFFFFF" w:themeFill="background1"/>
            <w:vAlign w:val="center"/>
          </w:tcPr>
          <w:p>
            <w:pPr>
              <w:tabs>
                <w:tab w:val="left" w:pos="2835"/>
              </w:tabs>
              <w:snapToGrid w:val="0"/>
              <w:jc w:val="center"/>
              <w:rPr>
                <w:rFonts w:hint="eastAsia" w:ascii="方正黑体_GBK" w:hAnsi="宋体" w:eastAsia="方正黑体_GBK"/>
                <w:color w:val="000000" w:themeColor="text1"/>
                <w:sz w:val="28"/>
                <w:szCs w:val="28"/>
                <w:shd w:val="clear" w:color="auto" w:fill="auto"/>
                <w:lang w:val="en-US" w:eastAsia="zh-CN"/>
                <w14:textFill>
                  <w14:solidFill>
                    <w14:schemeClr w14:val="tx1"/>
                  </w14:solidFill>
                </w14:textFill>
              </w:rPr>
            </w:pPr>
            <w:r>
              <w:rPr>
                <w:rFonts w:hint="eastAsia" w:ascii="方正黑体_GBK" w:hAnsi="宋体" w:eastAsia="方正黑体_GBK"/>
                <w:color w:val="000000" w:themeColor="text1"/>
                <w:sz w:val="28"/>
                <w:szCs w:val="28"/>
                <w:shd w:val="clear" w:color="auto" w:fill="auto"/>
                <w:lang w:val="en-US" w:eastAsia="zh-CN"/>
                <w14:textFill>
                  <w14:solidFill>
                    <w14:schemeClr w14:val="tx1"/>
                  </w14:solidFill>
                </w14:textFill>
              </w:rPr>
              <w:t>/</w:t>
            </w:r>
          </w:p>
        </w:tc>
        <w:tc>
          <w:tcPr>
            <w:tcW w:w="6662" w:type="dxa"/>
            <w:shd w:val="clear" w:color="auto" w:fill="FFFFFF" w:themeFill="background1"/>
            <w:vAlign w:val="center"/>
          </w:tcPr>
          <w:p>
            <w:pPr>
              <w:keepNext w:val="0"/>
              <w:keepLines w:val="0"/>
              <w:pageBreakBefore w:val="0"/>
              <w:widowControl w:val="0"/>
              <w:tabs>
                <w:tab w:val="left" w:pos="2835"/>
              </w:tabs>
              <w:kinsoku/>
              <w:wordWrap/>
              <w:overflowPunct/>
              <w:topLinePunct w:val="0"/>
              <w:autoSpaceDE/>
              <w:autoSpaceDN/>
              <w:bidi w:val="0"/>
              <w:adjustRightInd/>
              <w:snapToGrid w:val="0"/>
              <w:spacing w:line="320" w:lineRule="exact"/>
              <w:ind w:left="0" w:leftChars="0" w:right="0" w:rightChars="0" w:firstLine="0" w:firstLineChars="0"/>
              <w:jc w:val="left"/>
              <w:textAlignment w:val="auto"/>
              <w:outlineLvl w:val="9"/>
              <w:rPr>
                <w:rFonts w:hint="eastAsia" w:ascii="方正仿宋_GBK" w:hAnsi="Cambria" w:eastAsia="方正仿宋_GBK" w:cs="Calibri"/>
                <w:color w:val="000000" w:themeColor="text1"/>
                <w:kern w:val="2"/>
                <w:sz w:val="28"/>
                <w:szCs w:val="28"/>
                <w:shd w:val="clear" w:color="auto" w:fill="auto"/>
                <w:lang w:val="en-US" w:eastAsia="zh-CN" w:bidi="ar-SA"/>
                <w14:textFill>
                  <w14:solidFill>
                    <w14:schemeClr w14:val="tx1"/>
                  </w14:solidFill>
                </w14:textFill>
              </w:rPr>
            </w:pPr>
            <w:r>
              <w:rPr>
                <w:rFonts w:hint="eastAsia" w:ascii="方正仿宋_GBK" w:hAnsi="Cambria" w:eastAsia="方正仿宋_GBK" w:cs="Calibri"/>
                <w:color w:val="000000" w:themeColor="text1"/>
                <w:kern w:val="2"/>
                <w:sz w:val="28"/>
                <w:szCs w:val="28"/>
                <w:shd w:val="clear" w:color="auto" w:fill="auto"/>
                <w:lang w:val="en-US" w:eastAsia="zh-CN" w:bidi="ar-SA"/>
                <w14:textFill>
                  <w14:solidFill>
                    <w14:schemeClr w14:val="tx1"/>
                  </w14:solidFill>
                </w14:textFill>
              </w:rPr>
              <w:t>评审委员会对供应商资格条件进行符合性评审，所有资格条件必须逐条响应，必须要素齐全。符合以下资格条件的供应商进入磋商环节，供应商资格条件如下：</w:t>
            </w:r>
          </w:p>
          <w:p>
            <w:pPr>
              <w:pStyle w:val="19"/>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textAlignment w:val="auto"/>
              <w:outlineLvl w:val="9"/>
              <w:rPr>
                <w:rFonts w:hint="eastAsia" w:ascii="方正仿宋_GBK" w:hAnsi="Cambria" w:eastAsia="方正仿宋_GBK" w:cs="Calibri"/>
                <w:color w:val="000000" w:themeColor="text1"/>
                <w:kern w:val="2"/>
                <w:sz w:val="28"/>
                <w:szCs w:val="28"/>
                <w:shd w:val="clear" w:color="auto" w:fill="auto"/>
                <w:lang w:val="en-US" w:eastAsia="zh-CN" w:bidi="ar-SA"/>
                <w14:textFill>
                  <w14:solidFill>
                    <w14:schemeClr w14:val="tx1"/>
                  </w14:solidFill>
                </w14:textFill>
              </w:rPr>
            </w:pPr>
            <w:r>
              <w:rPr>
                <w:rFonts w:hint="eastAsia" w:ascii="方正仿宋_GBK" w:hAnsi="Cambria" w:eastAsia="方正仿宋_GBK" w:cs="Calibri"/>
                <w:color w:val="000000" w:themeColor="text1"/>
                <w:kern w:val="2"/>
                <w:sz w:val="28"/>
                <w:szCs w:val="28"/>
                <w:shd w:val="clear" w:color="auto" w:fill="auto"/>
                <w:lang w:val="en-US" w:eastAsia="zh-CN" w:bidi="ar-SA"/>
                <w14:textFill>
                  <w14:solidFill>
                    <w14:schemeClr w14:val="tx1"/>
                  </w14:solidFill>
                </w14:textFill>
              </w:rPr>
              <w:t xml:space="preserve">   1. 投标人应为独立法人，注册资金不少于1000</w:t>
            </w:r>
            <w:r>
              <w:rPr>
                <w:rFonts w:hint="eastAsia" w:ascii="方正仿宋_GBK" w:hAnsi="Cambria" w:eastAsia="方正仿宋_GBK" w:cs="Calibri"/>
                <w:color w:val="000000" w:themeColor="text1"/>
                <w:kern w:val="2"/>
                <w:sz w:val="28"/>
                <w:szCs w:val="28"/>
                <w:shd w:val="clear" w:color="auto" w:fill="auto"/>
                <w:lang w:val="ru-RU" w:eastAsia="zh-CN" w:bidi="ar-SA"/>
                <w14:textFill>
                  <w14:solidFill>
                    <w14:schemeClr w14:val="tx1"/>
                  </w14:solidFill>
                </w14:textFill>
              </w:rPr>
              <w:t>万元人民币。</w:t>
            </w:r>
            <w:r>
              <w:rPr>
                <w:rFonts w:hint="eastAsia" w:ascii="方正仿宋_GBK" w:hAnsi="Cambria" w:eastAsia="方正仿宋_GBK" w:cs="Calibri"/>
                <w:color w:val="000000" w:themeColor="text1"/>
                <w:kern w:val="2"/>
                <w:sz w:val="28"/>
                <w:szCs w:val="28"/>
                <w:shd w:val="clear" w:color="auto" w:fill="auto"/>
                <w:lang w:val="en-US" w:eastAsia="zh-CN" w:bidi="ar-SA"/>
                <w14:textFill>
                  <w14:solidFill>
                    <w14:schemeClr w14:val="tx1"/>
                  </w14:solidFill>
                </w14:textFill>
              </w:rPr>
              <w:t>提供有效的营业执照复印件并加盖投标人鲜公章。</w:t>
            </w:r>
          </w:p>
          <w:p>
            <w:pPr>
              <w:pStyle w:val="19"/>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textAlignment w:val="auto"/>
              <w:outlineLvl w:val="9"/>
              <w:rPr>
                <w:rFonts w:hint="eastAsia" w:ascii="方正仿宋_GBK" w:hAnsi="Cambria" w:eastAsia="方正仿宋_GBK" w:cs="Calibri"/>
                <w:color w:val="000000" w:themeColor="text1"/>
                <w:kern w:val="2"/>
                <w:sz w:val="28"/>
                <w:szCs w:val="28"/>
                <w:shd w:val="clear" w:color="auto" w:fill="auto"/>
                <w:lang w:val="en-US" w:eastAsia="zh-CN" w:bidi="ar-SA"/>
                <w14:textFill>
                  <w14:solidFill>
                    <w14:schemeClr w14:val="tx1"/>
                  </w14:solidFill>
                </w14:textFill>
              </w:rPr>
            </w:pPr>
            <w:r>
              <w:rPr>
                <w:rFonts w:hint="eastAsia" w:ascii="方正仿宋_GBK" w:hAnsi="Cambria" w:eastAsia="方正仿宋_GBK" w:cs="Calibri"/>
                <w:color w:val="000000" w:themeColor="text1"/>
                <w:kern w:val="2"/>
                <w:sz w:val="28"/>
                <w:szCs w:val="28"/>
                <w:shd w:val="clear" w:color="auto" w:fill="auto"/>
                <w:lang w:val="en-US" w:eastAsia="zh-CN" w:bidi="ar-SA"/>
                <w14:textFill>
                  <w14:solidFill>
                    <w14:schemeClr w14:val="tx1"/>
                  </w14:solidFill>
                </w14:textFill>
              </w:rPr>
              <w:t xml:space="preserve">   2. 投标人应</w:t>
            </w:r>
            <w:r>
              <w:rPr>
                <w:rFonts w:hint="eastAsia" w:ascii="方正仿宋_GBK" w:hAnsi="Cambria" w:eastAsia="方正仿宋_GBK" w:cs="Calibri"/>
                <w:color w:val="000000" w:themeColor="text1"/>
                <w:kern w:val="2"/>
                <w:sz w:val="28"/>
                <w:szCs w:val="28"/>
                <w:shd w:val="clear" w:color="auto" w:fill="auto"/>
                <w:lang w:val="ru-RU" w:eastAsia="zh-CN" w:bidi="ar-SA"/>
                <w14:textFill>
                  <w14:solidFill>
                    <w14:schemeClr w14:val="tx1"/>
                  </w14:solidFill>
                </w14:textFill>
              </w:rPr>
              <w:t>具备建设行政主管部门颁发的建筑工程施工总承包三级及以上资质或电子与智能化工程专业承包二级及以上资质，提供有效的资质证书复印件并加盖投标单位鲜公章</w:t>
            </w:r>
            <w:r>
              <w:rPr>
                <w:rFonts w:hint="eastAsia" w:ascii="方正仿宋_GBK" w:hAnsi="Cambria" w:eastAsia="方正仿宋_GBK" w:cs="Calibri"/>
                <w:color w:val="000000" w:themeColor="text1"/>
                <w:kern w:val="2"/>
                <w:sz w:val="28"/>
                <w:szCs w:val="28"/>
                <w:shd w:val="clear" w:color="auto" w:fill="auto"/>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textAlignment w:val="auto"/>
              <w:outlineLvl w:val="9"/>
              <w:rPr>
                <w:rFonts w:hint="eastAsia"/>
                <w:color w:val="000000" w:themeColor="text1"/>
                <w:shd w:val="clear" w:color="auto" w:fill="auto"/>
                <w:lang w:val="en-US" w:eastAsia="zh-CN"/>
                <w14:textFill>
                  <w14:solidFill>
                    <w14:schemeClr w14:val="tx1"/>
                  </w14:solidFill>
                </w14:textFill>
              </w:rPr>
            </w:pPr>
            <w:r>
              <w:rPr>
                <w:rFonts w:hint="eastAsia" w:ascii="方正仿宋_GBK" w:hAnsi="Cambria" w:eastAsia="方正仿宋_GBK" w:cs="Calibri"/>
                <w:color w:val="000000" w:themeColor="text1"/>
                <w:kern w:val="2"/>
                <w:sz w:val="28"/>
                <w:szCs w:val="28"/>
                <w:shd w:val="clear" w:color="auto" w:fill="auto"/>
                <w:lang w:val="en-US" w:eastAsia="zh-CN" w:bidi="ar-SA"/>
                <w14:textFill>
                  <w14:solidFill>
                    <w14:schemeClr w14:val="tx1"/>
                  </w14:solidFill>
                </w14:textFill>
              </w:rPr>
              <w:t xml:space="preserve">   3. </w:t>
            </w:r>
            <w:r>
              <w:rPr>
                <w:rFonts w:hint="eastAsia" w:ascii="方正仿宋_GBK" w:hAnsi="Cambria" w:eastAsia="方正仿宋_GBK" w:cs="Calibri"/>
                <w:color w:val="000000" w:themeColor="text1"/>
                <w:kern w:val="2"/>
                <w:sz w:val="28"/>
                <w:szCs w:val="28"/>
                <w:shd w:val="clear" w:color="auto" w:fill="auto"/>
                <w:lang w:val="ru-RU" w:eastAsia="zh-CN" w:bidi="ar-SA"/>
                <w14:textFill>
                  <w14:solidFill>
                    <w14:schemeClr w14:val="tx1"/>
                  </w14:solidFill>
                </w14:textFill>
              </w:rPr>
              <w:t>投标人未在“信用中国”网站上被列入失信被执行人和税收违法黑名单，提供承诺函原件。</w:t>
            </w:r>
            <w:r>
              <w:rPr>
                <w:rFonts w:hint="eastAsia" w:ascii="方正仿宋_GBK" w:hAnsi="Cambria" w:eastAsia="方正仿宋_GBK" w:cs="Calibri"/>
                <w:color w:val="000000" w:themeColor="text1"/>
                <w:kern w:val="2"/>
                <w:sz w:val="28"/>
                <w:szCs w:val="28"/>
                <w:shd w:val="clear" w:color="auto" w:fill="auto"/>
                <w:lang w:val="en-US" w:eastAsia="zh-CN" w:bidi="ar-SA"/>
                <w14:textFill>
                  <w14:solidFill>
                    <w14:schemeClr w14:val="tx1"/>
                  </w14:solidFill>
                </w14:textFill>
              </w:rPr>
              <w:t>且</w:t>
            </w:r>
            <w:r>
              <w:rPr>
                <w:rFonts w:hint="eastAsia" w:ascii="方正仿宋_GBK" w:hAnsi="Cambria" w:eastAsia="方正仿宋_GBK" w:cs="Calibri"/>
                <w:color w:val="000000" w:themeColor="text1"/>
                <w:kern w:val="2"/>
                <w:sz w:val="28"/>
                <w:szCs w:val="28"/>
                <w:shd w:val="clear" w:color="auto" w:fill="auto"/>
                <w:lang w:val="ru-RU" w:eastAsia="zh-CN" w:bidi="ar-SA"/>
                <w14:textFill>
                  <w14:solidFill>
                    <w14:schemeClr w14:val="tx1"/>
                  </w14:solidFill>
                </w14:textFill>
              </w:rPr>
              <w:t>开标当日投标人单独提供一份“信用信息报告”，生成时间为开标当日，下载方式：进入信用中国网站https://www.creditchina.gov.cn/，右上角查询框中输入企业名字查询，在查询结果中找到查询企业，下载信用信息报告（提示：下载的信用信息报告为PDF格式，名称为“法人和非法人组织公共信用信息报告”，右上角有二维码核验码），“信用信息报告”以手持件形式随投标文件在投标截止时间前现场递交（该“信用信息报告”手持件无须装入投标文件中，也无须密封盖章递交），未按上述要求递交“信用信息报告”手持件的，由</w:t>
            </w:r>
            <w:r>
              <w:rPr>
                <w:rFonts w:hint="eastAsia" w:ascii="方正仿宋_GBK" w:hAnsi="Cambria" w:eastAsia="方正仿宋_GBK" w:cs="Calibri"/>
                <w:color w:val="000000" w:themeColor="text1"/>
                <w:kern w:val="2"/>
                <w:sz w:val="28"/>
                <w:szCs w:val="28"/>
                <w:shd w:val="clear" w:color="auto" w:fill="auto"/>
                <w:lang w:val="en-US" w:eastAsia="zh-CN" w:bidi="ar-SA"/>
                <w14:textFill>
                  <w14:solidFill>
                    <w14:schemeClr w14:val="tx1"/>
                  </w14:solidFill>
                </w14:textFill>
              </w:rPr>
              <w:t>评审</w:t>
            </w:r>
            <w:r>
              <w:rPr>
                <w:rFonts w:hint="eastAsia" w:ascii="方正仿宋_GBK" w:hAnsi="Cambria" w:eastAsia="方正仿宋_GBK" w:cs="Calibri"/>
                <w:color w:val="000000" w:themeColor="text1"/>
                <w:kern w:val="2"/>
                <w:sz w:val="28"/>
                <w:szCs w:val="28"/>
                <w:shd w:val="clear" w:color="auto" w:fill="auto"/>
                <w:lang w:val="ru-RU" w:eastAsia="zh-CN" w:bidi="ar-SA"/>
                <w14:textFill>
                  <w14:solidFill>
                    <w14:schemeClr w14:val="tx1"/>
                  </w14:solidFill>
                </w14:textFill>
              </w:rPr>
              <w:t>委员会按否决投标处理。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5" w:hRule="atLeast"/>
        </w:trPr>
        <w:tc>
          <w:tcPr>
            <w:tcW w:w="1565" w:type="dxa"/>
            <w:vAlign w:val="center"/>
          </w:tcPr>
          <w:p>
            <w:pPr>
              <w:tabs>
                <w:tab w:val="left" w:pos="2835"/>
              </w:tabs>
              <w:snapToGrid w:val="0"/>
              <w:jc w:val="center"/>
              <w:rPr>
                <w:rFonts w:ascii="方正仿宋_GBK" w:hAnsi="宋体" w:eastAsia="方正仿宋_GBK"/>
                <w:sz w:val="28"/>
                <w:szCs w:val="28"/>
              </w:rPr>
            </w:pPr>
            <w:r>
              <w:rPr>
                <w:rFonts w:hint="eastAsia" w:ascii="方正仿宋_GBK" w:hAnsi="宋体" w:eastAsia="方正仿宋_GBK"/>
                <w:sz w:val="28"/>
                <w:szCs w:val="28"/>
              </w:rPr>
              <w:t>投标</w:t>
            </w:r>
          </w:p>
          <w:p>
            <w:pPr>
              <w:tabs>
                <w:tab w:val="left" w:pos="2835"/>
              </w:tabs>
              <w:snapToGrid w:val="0"/>
              <w:jc w:val="center"/>
              <w:rPr>
                <w:rFonts w:ascii="方正仿宋_GBK" w:hAnsi="宋体" w:eastAsia="方正仿宋_GBK"/>
                <w:sz w:val="28"/>
                <w:szCs w:val="28"/>
              </w:rPr>
            </w:pPr>
            <w:r>
              <w:rPr>
                <w:rFonts w:hint="eastAsia" w:ascii="方正仿宋_GBK" w:hAnsi="宋体" w:eastAsia="方正仿宋_GBK"/>
                <w:sz w:val="28"/>
                <w:szCs w:val="28"/>
              </w:rPr>
              <w:t>报价</w:t>
            </w:r>
          </w:p>
        </w:tc>
        <w:tc>
          <w:tcPr>
            <w:tcW w:w="953" w:type="dxa"/>
            <w:vAlign w:val="center"/>
          </w:tcPr>
          <w:p>
            <w:pPr>
              <w:tabs>
                <w:tab w:val="left" w:pos="2835"/>
              </w:tabs>
              <w:snapToGrid w:val="0"/>
              <w:jc w:val="center"/>
              <w:rPr>
                <w:rFonts w:ascii="方正仿宋_GBK" w:hAnsi="宋体" w:eastAsia="方正仿宋_GBK"/>
                <w:sz w:val="28"/>
                <w:szCs w:val="28"/>
              </w:rPr>
            </w:pPr>
            <w:r>
              <w:rPr>
                <w:rFonts w:hint="eastAsia" w:ascii="方正仿宋_GBK" w:hAnsi="宋体" w:eastAsia="方正仿宋_GBK"/>
                <w:sz w:val="28"/>
                <w:szCs w:val="28"/>
              </w:rPr>
              <w:t>50分</w:t>
            </w:r>
          </w:p>
        </w:tc>
        <w:tc>
          <w:tcPr>
            <w:tcW w:w="6662" w:type="dxa"/>
            <w:vAlign w:val="center"/>
          </w:tcPr>
          <w:p>
            <w:pPr>
              <w:snapToGrid w:val="0"/>
              <w:contextualSpacing/>
              <w:jc w:val="left"/>
              <w:rPr>
                <w:rFonts w:ascii="方正仿宋_GBK" w:hAnsi="Cambria" w:eastAsia="方正仿宋_GBK"/>
                <w:sz w:val="28"/>
                <w:szCs w:val="28"/>
              </w:rPr>
            </w:pPr>
            <w:r>
              <w:rPr>
                <w:rFonts w:hint="eastAsia" w:ascii="方正仿宋_GBK" w:hAnsi="Cambria" w:eastAsia="方正仿宋_GBK"/>
                <w:sz w:val="28"/>
                <w:szCs w:val="28"/>
              </w:rPr>
              <w:t>价格分统一采用低价优先法计算，即满足磋商文件要求且磋商报价最低的为磋商报价评审基准价，其价格分为满分。其他供应商的价格分统一按照下列公式计算：</w:t>
            </w:r>
          </w:p>
          <w:p>
            <w:pPr>
              <w:snapToGrid w:val="0"/>
              <w:jc w:val="left"/>
              <w:rPr>
                <w:rFonts w:ascii="方正仿宋_GBK" w:hAnsi="Times New Roman" w:eastAsia="方正仿宋_GBK"/>
                <w:b/>
                <w:sz w:val="28"/>
                <w:szCs w:val="28"/>
              </w:rPr>
            </w:pPr>
            <w:r>
              <w:rPr>
                <w:rFonts w:hint="eastAsia" w:ascii="方正仿宋_GBK" w:hAnsi="Cambria" w:eastAsia="方正仿宋_GBK"/>
                <w:b/>
                <w:sz w:val="28"/>
                <w:szCs w:val="28"/>
              </w:rPr>
              <w:t>磋商报价得分=(评审基准价/磋商报价)×</w:t>
            </w:r>
            <w:r>
              <w:rPr>
                <w:rFonts w:hint="eastAsia" w:ascii="方正仿宋_GBK" w:hAnsi="Times New Roman" w:eastAsia="方正仿宋_GBK"/>
                <w:b/>
                <w:sz w:val="28"/>
                <w:szCs w:val="28"/>
              </w:rPr>
              <w:t>100</w:t>
            </w:r>
          </w:p>
          <w:p>
            <w:pPr>
              <w:snapToGrid w:val="0"/>
              <w:jc w:val="left"/>
              <w:rPr>
                <w:rFonts w:ascii="方正仿宋_GBK" w:hAnsi="Cambria" w:eastAsia="方正仿宋_GBK"/>
                <w:b/>
                <w:sz w:val="28"/>
                <w:szCs w:val="28"/>
              </w:rPr>
            </w:pPr>
            <w:r>
              <w:rPr>
                <w:rFonts w:hint="eastAsia" w:ascii="方正仿宋_GBK" w:hAnsi="Cambria" w:eastAsia="方正仿宋_GBK"/>
                <w:b/>
                <w:sz w:val="28"/>
                <w:szCs w:val="28"/>
              </w:rPr>
              <w:t>评审总得分＝</w:t>
            </w:r>
            <w:r>
              <w:rPr>
                <w:rFonts w:hint="eastAsia" w:ascii="方正仿宋_GBK" w:hAnsi="Times New Roman" w:eastAsia="方正仿宋_GBK"/>
                <w:b/>
                <w:sz w:val="28"/>
                <w:szCs w:val="28"/>
              </w:rPr>
              <w:t>F1</w:t>
            </w:r>
            <w:r>
              <w:rPr>
                <w:rFonts w:hint="eastAsia" w:ascii="方正仿宋_GBK" w:hAnsi="Cambria" w:eastAsia="方正仿宋_GBK"/>
                <w:b/>
                <w:sz w:val="28"/>
                <w:szCs w:val="28"/>
              </w:rPr>
              <w:t>×</w:t>
            </w:r>
            <w:r>
              <w:rPr>
                <w:rFonts w:hint="eastAsia" w:ascii="方正仿宋_GBK" w:hAnsi="Times New Roman" w:eastAsia="方正仿宋_GBK"/>
                <w:b/>
                <w:sz w:val="28"/>
                <w:szCs w:val="28"/>
              </w:rPr>
              <w:t>A1</w:t>
            </w:r>
            <w:r>
              <w:rPr>
                <w:rFonts w:hint="eastAsia" w:ascii="方正仿宋_GBK" w:hAnsi="Cambria" w:eastAsia="方正仿宋_GBK"/>
                <w:b/>
                <w:sz w:val="28"/>
                <w:szCs w:val="28"/>
              </w:rPr>
              <w:t>＋</w:t>
            </w:r>
            <w:r>
              <w:rPr>
                <w:rFonts w:hint="eastAsia" w:ascii="方正仿宋_GBK" w:hAnsi="Times New Roman" w:eastAsia="方正仿宋_GBK"/>
                <w:b/>
                <w:sz w:val="28"/>
                <w:szCs w:val="28"/>
              </w:rPr>
              <w:t>F2</w:t>
            </w:r>
            <w:r>
              <w:rPr>
                <w:rFonts w:hint="eastAsia" w:ascii="方正仿宋_GBK" w:hAnsi="Cambria" w:eastAsia="方正仿宋_GBK"/>
                <w:b/>
                <w:sz w:val="28"/>
                <w:szCs w:val="28"/>
              </w:rPr>
              <w:t>×</w:t>
            </w:r>
            <w:r>
              <w:rPr>
                <w:rFonts w:hint="eastAsia" w:ascii="方正仿宋_GBK" w:hAnsi="Times New Roman" w:eastAsia="方正仿宋_GBK"/>
                <w:b/>
                <w:sz w:val="28"/>
                <w:szCs w:val="28"/>
              </w:rPr>
              <w:t>A2</w:t>
            </w:r>
            <w:r>
              <w:rPr>
                <w:rFonts w:hint="eastAsia" w:ascii="方正仿宋_GBK" w:hAnsi="Cambria" w:eastAsia="方正仿宋_GBK"/>
                <w:b/>
                <w:sz w:val="28"/>
                <w:szCs w:val="28"/>
              </w:rPr>
              <w:t>＋……＋</w:t>
            </w:r>
            <w:r>
              <w:rPr>
                <w:rFonts w:hint="eastAsia" w:ascii="方正仿宋_GBK" w:hAnsi="Times New Roman" w:eastAsia="方正仿宋_GBK"/>
                <w:b/>
                <w:sz w:val="28"/>
                <w:szCs w:val="28"/>
              </w:rPr>
              <w:t>Fn</w:t>
            </w:r>
            <w:r>
              <w:rPr>
                <w:rFonts w:hint="eastAsia" w:ascii="方正仿宋_GBK" w:hAnsi="Cambria" w:eastAsia="方正仿宋_GBK"/>
                <w:b/>
                <w:sz w:val="28"/>
                <w:szCs w:val="28"/>
              </w:rPr>
              <w:t>×</w:t>
            </w:r>
            <w:r>
              <w:rPr>
                <w:rFonts w:hint="eastAsia" w:ascii="方正仿宋_GBK" w:hAnsi="Times New Roman" w:eastAsia="方正仿宋_GBK"/>
                <w:b/>
                <w:sz w:val="28"/>
                <w:szCs w:val="28"/>
              </w:rPr>
              <w:t>An</w:t>
            </w:r>
          </w:p>
          <w:p>
            <w:pPr>
              <w:snapToGrid w:val="0"/>
              <w:jc w:val="left"/>
              <w:rPr>
                <w:rFonts w:ascii="方正仿宋_GBK" w:hAnsi="Cambria" w:eastAsia="方正仿宋_GBK"/>
                <w:sz w:val="28"/>
                <w:szCs w:val="28"/>
              </w:rPr>
            </w:pPr>
            <w:r>
              <w:rPr>
                <w:rFonts w:hint="eastAsia" w:ascii="方正仿宋_GBK" w:hAnsi="Times New Roman" w:eastAsia="方正仿宋_GBK"/>
                <w:sz w:val="28"/>
                <w:szCs w:val="28"/>
              </w:rPr>
              <w:t>注：F1</w:t>
            </w:r>
            <w:r>
              <w:rPr>
                <w:rFonts w:hint="eastAsia" w:ascii="方正仿宋_GBK" w:hAnsi="Cambria" w:eastAsia="方正仿宋_GBK"/>
                <w:sz w:val="28"/>
                <w:szCs w:val="28"/>
              </w:rPr>
              <w:t>、</w:t>
            </w:r>
            <w:r>
              <w:rPr>
                <w:rFonts w:hint="eastAsia" w:ascii="方正仿宋_GBK" w:hAnsi="Times New Roman" w:eastAsia="方正仿宋_GBK"/>
                <w:sz w:val="28"/>
                <w:szCs w:val="28"/>
              </w:rPr>
              <w:t>F2</w:t>
            </w:r>
            <w:r>
              <w:rPr>
                <w:rFonts w:hint="eastAsia" w:ascii="方正仿宋_GBK" w:hAnsi="Cambria" w:eastAsia="方正仿宋_GBK"/>
                <w:sz w:val="28"/>
                <w:szCs w:val="28"/>
              </w:rPr>
              <w:t>……</w:t>
            </w:r>
            <w:r>
              <w:rPr>
                <w:rFonts w:hint="eastAsia" w:ascii="方正仿宋_GBK" w:hAnsi="Times New Roman" w:eastAsia="方正仿宋_GBK"/>
                <w:sz w:val="28"/>
                <w:szCs w:val="28"/>
              </w:rPr>
              <w:t>Fn</w:t>
            </w:r>
            <w:r>
              <w:rPr>
                <w:rFonts w:hint="eastAsia" w:ascii="方正仿宋_GBK" w:hAnsi="Cambria" w:eastAsia="方正仿宋_GBK"/>
                <w:sz w:val="28"/>
                <w:szCs w:val="28"/>
              </w:rPr>
              <w:t>分别为各项评审因素的得分；</w:t>
            </w:r>
          </w:p>
          <w:p>
            <w:pPr>
              <w:snapToGrid w:val="0"/>
              <w:ind w:left="601" w:leftChars="286"/>
              <w:jc w:val="left"/>
              <w:rPr>
                <w:rFonts w:ascii="方正仿宋_GBK" w:hAnsi="宋体" w:eastAsia="方正仿宋_GBK"/>
                <w:sz w:val="28"/>
                <w:szCs w:val="28"/>
              </w:rPr>
            </w:pPr>
            <w:r>
              <w:rPr>
                <w:rFonts w:hint="eastAsia" w:ascii="方正仿宋_GBK" w:hAnsi="Times New Roman" w:eastAsia="方正仿宋_GBK"/>
                <w:sz w:val="28"/>
                <w:szCs w:val="28"/>
              </w:rPr>
              <w:t>A1</w:t>
            </w:r>
            <w:r>
              <w:rPr>
                <w:rFonts w:hint="eastAsia" w:ascii="方正仿宋_GBK" w:hAnsi="Cambria" w:eastAsia="方正仿宋_GBK"/>
                <w:sz w:val="28"/>
                <w:szCs w:val="28"/>
              </w:rPr>
              <w:t>、</w:t>
            </w:r>
            <w:r>
              <w:rPr>
                <w:rFonts w:hint="eastAsia" w:ascii="方正仿宋_GBK" w:hAnsi="Times New Roman" w:eastAsia="方正仿宋_GBK"/>
                <w:sz w:val="28"/>
                <w:szCs w:val="28"/>
              </w:rPr>
              <w:t>A2</w:t>
            </w:r>
            <w:r>
              <w:rPr>
                <w:rFonts w:hint="eastAsia" w:ascii="方正仿宋_GBK" w:hAnsi="Cambria" w:eastAsia="方正仿宋_GBK"/>
                <w:sz w:val="28"/>
                <w:szCs w:val="28"/>
              </w:rPr>
              <w:t>、……</w:t>
            </w:r>
            <w:r>
              <w:rPr>
                <w:rFonts w:hint="eastAsia" w:ascii="方正仿宋_GBK" w:hAnsi="Times New Roman" w:eastAsia="方正仿宋_GBK"/>
                <w:sz w:val="28"/>
                <w:szCs w:val="28"/>
              </w:rPr>
              <w:t>An</w:t>
            </w:r>
            <w:r>
              <w:rPr>
                <w:rFonts w:hint="eastAsia" w:ascii="方正仿宋_GBK" w:hAnsi="Cambria" w:eastAsia="方正仿宋_GBK"/>
                <w:sz w:val="28"/>
                <w:szCs w:val="28"/>
              </w:rPr>
              <w:t xml:space="preserve"> 分别为各项评审因素所占的权重(</w:t>
            </w:r>
            <w:r>
              <w:rPr>
                <w:rFonts w:hint="eastAsia" w:ascii="方正仿宋_GBK" w:hAnsi="Times New Roman" w:eastAsia="方正仿宋_GBK"/>
                <w:sz w:val="28"/>
                <w:szCs w:val="28"/>
              </w:rPr>
              <w:t>A1</w:t>
            </w:r>
            <w:r>
              <w:rPr>
                <w:rFonts w:hint="eastAsia" w:ascii="方正仿宋_GBK" w:hAnsi="Cambria" w:eastAsia="方正仿宋_GBK"/>
                <w:sz w:val="28"/>
                <w:szCs w:val="28"/>
              </w:rPr>
              <w:t>＋</w:t>
            </w:r>
            <w:r>
              <w:rPr>
                <w:rFonts w:hint="eastAsia" w:ascii="方正仿宋_GBK" w:hAnsi="Times New Roman" w:eastAsia="方正仿宋_GBK"/>
                <w:sz w:val="28"/>
                <w:szCs w:val="28"/>
              </w:rPr>
              <w:t>A2</w:t>
            </w:r>
            <w:r>
              <w:rPr>
                <w:rFonts w:hint="eastAsia" w:ascii="方正仿宋_GBK" w:hAnsi="Cambria" w:eastAsia="方正仿宋_GBK"/>
                <w:sz w:val="28"/>
                <w:szCs w:val="28"/>
              </w:rPr>
              <w:t>＋……＋</w:t>
            </w:r>
            <w:r>
              <w:rPr>
                <w:rFonts w:hint="eastAsia" w:ascii="方正仿宋_GBK" w:hAnsi="Times New Roman" w:eastAsia="方正仿宋_GBK"/>
                <w:sz w:val="28"/>
                <w:szCs w:val="28"/>
              </w:rPr>
              <w:t>An</w:t>
            </w:r>
            <w:r>
              <w:rPr>
                <w:rFonts w:hint="eastAsia" w:ascii="方正仿宋_GBK" w:hAnsi="Cambria" w:eastAsia="方正仿宋_GBK"/>
                <w:sz w:val="28"/>
                <w:szCs w:val="28"/>
              </w:rPr>
              <w:t>＝</w:t>
            </w:r>
            <w:r>
              <w:rPr>
                <w:rFonts w:hint="eastAsia" w:ascii="方正仿宋_GBK" w:hAnsi="Times New Roman" w:eastAsia="方正仿宋_GBK"/>
                <w:sz w:val="28"/>
                <w:szCs w:val="28"/>
              </w:rPr>
              <w:t>1</w:t>
            </w:r>
            <w:r>
              <w:rPr>
                <w:rFonts w:hint="eastAsia" w:ascii="方正仿宋_GBK" w:hAnsi="Cambria" w:eastAsia="方正仿宋_GBK"/>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3" w:hRule="atLeast"/>
        </w:trPr>
        <w:tc>
          <w:tcPr>
            <w:tcW w:w="1565" w:type="dxa"/>
            <w:vAlign w:val="center"/>
          </w:tcPr>
          <w:p>
            <w:pPr>
              <w:tabs>
                <w:tab w:val="left" w:pos="2835"/>
              </w:tabs>
              <w:snapToGrid w:val="0"/>
              <w:jc w:val="center"/>
              <w:rPr>
                <w:rFonts w:ascii="方正仿宋_GBK" w:hAnsi="宋体" w:eastAsia="方正仿宋_GBK"/>
                <w:sz w:val="28"/>
                <w:szCs w:val="28"/>
              </w:rPr>
            </w:pPr>
            <w:r>
              <w:rPr>
                <w:rFonts w:hint="eastAsia" w:ascii="方正仿宋_GBK" w:hAnsi="宋体" w:eastAsia="方正仿宋_GBK"/>
                <w:sz w:val="28"/>
                <w:szCs w:val="28"/>
              </w:rPr>
              <w:t>商务</w:t>
            </w:r>
          </w:p>
          <w:p>
            <w:pPr>
              <w:tabs>
                <w:tab w:val="left" w:pos="2835"/>
              </w:tabs>
              <w:snapToGrid w:val="0"/>
              <w:jc w:val="center"/>
              <w:rPr>
                <w:rFonts w:ascii="方正仿宋_GBK" w:hAnsi="宋体" w:eastAsia="方正仿宋_GBK"/>
                <w:sz w:val="28"/>
                <w:szCs w:val="28"/>
              </w:rPr>
            </w:pPr>
            <w:r>
              <w:rPr>
                <w:rFonts w:hint="eastAsia" w:ascii="方正仿宋_GBK" w:hAnsi="宋体" w:eastAsia="方正仿宋_GBK"/>
                <w:sz w:val="28"/>
                <w:szCs w:val="28"/>
              </w:rPr>
              <w:t>部分</w:t>
            </w:r>
          </w:p>
          <w:p>
            <w:pPr>
              <w:tabs>
                <w:tab w:val="left" w:pos="2835"/>
              </w:tabs>
              <w:snapToGrid w:val="0"/>
              <w:jc w:val="center"/>
            </w:pPr>
          </w:p>
        </w:tc>
        <w:tc>
          <w:tcPr>
            <w:tcW w:w="953" w:type="dxa"/>
            <w:vAlign w:val="center"/>
          </w:tcPr>
          <w:p>
            <w:pPr>
              <w:tabs>
                <w:tab w:val="left" w:pos="2835"/>
              </w:tabs>
              <w:snapToGrid w:val="0"/>
              <w:jc w:val="center"/>
              <w:rPr>
                <w:rFonts w:ascii="方正仿宋_GBK" w:hAnsi="宋体" w:eastAsia="方正仿宋_GBK"/>
                <w:sz w:val="28"/>
                <w:szCs w:val="28"/>
              </w:rPr>
            </w:pPr>
            <w:r>
              <w:rPr>
                <w:rFonts w:hint="eastAsia" w:ascii="方正仿宋_GBK" w:hAnsi="宋体" w:eastAsia="方正仿宋_GBK"/>
                <w:sz w:val="28"/>
                <w:szCs w:val="28"/>
              </w:rPr>
              <w:t>40分</w:t>
            </w:r>
          </w:p>
        </w:tc>
        <w:tc>
          <w:tcPr>
            <w:tcW w:w="6662" w:type="dxa"/>
            <w:vAlign w:val="center"/>
          </w:tcPr>
          <w:p>
            <w:pPr>
              <w:pStyle w:val="17"/>
              <w:snapToGrid w:val="0"/>
              <w:spacing w:before="156" w:beforeLines="50"/>
              <w:rPr>
                <w:rFonts w:ascii="方正仿宋_GBK" w:hAnsi="Cambria" w:eastAsia="方正仿宋_GBK"/>
                <w:b/>
                <w:bCs/>
                <w:sz w:val="28"/>
                <w:szCs w:val="28"/>
              </w:rPr>
            </w:pPr>
            <w:r>
              <w:rPr>
                <w:rFonts w:hint="eastAsia" w:ascii="方正仿宋_GBK" w:hAnsi="Cambria" w:eastAsia="方正仿宋_GBK"/>
                <w:b/>
                <w:bCs/>
                <w:sz w:val="28"/>
                <w:szCs w:val="28"/>
              </w:rPr>
              <w:t>一、企业实力（20分）</w:t>
            </w:r>
          </w:p>
          <w:p>
            <w:pPr>
              <w:pStyle w:val="17"/>
              <w:snapToGrid w:val="0"/>
              <w:ind w:left="316" w:hanging="316" w:hangingChars="113"/>
              <w:rPr>
                <w:rFonts w:ascii="方正仿宋_GBK" w:hAnsi="Cambria" w:eastAsia="方正仿宋_GBK"/>
                <w:b/>
                <w:bCs/>
                <w:sz w:val="28"/>
                <w:szCs w:val="28"/>
              </w:rPr>
            </w:pPr>
            <w:r>
              <w:rPr>
                <w:rFonts w:hint="eastAsia" w:ascii="方正仿宋_GBK" w:hAnsi="Cambria" w:eastAsia="方正仿宋_GBK"/>
                <w:sz w:val="28"/>
                <w:szCs w:val="28"/>
              </w:rPr>
              <w:t>1. 具备“国家市场监督管理总局全国认证认可信息公共服务平台”可查询的《质量管理体系认证证书》、《环境管理体系认证证书》、《信息安全管理体系认证证书》、《信息技术服务管理体系认证证书》、《职业健康安全管理体系认证证书》，每有1个得2分，最多得10分；</w:t>
            </w:r>
          </w:p>
          <w:p>
            <w:pPr>
              <w:pStyle w:val="17"/>
              <w:snapToGrid w:val="0"/>
              <w:ind w:left="316" w:hanging="316" w:hangingChars="113"/>
              <w:rPr>
                <w:rFonts w:ascii="方正仿宋_GBK" w:hAnsi="Cambria" w:eastAsia="方正仿宋_GBK"/>
                <w:sz w:val="28"/>
                <w:szCs w:val="28"/>
              </w:rPr>
            </w:pPr>
            <w:r>
              <w:rPr>
                <w:rFonts w:hint="eastAsia" w:ascii="方正仿宋_GBK" w:hAnsi="Cambria" w:eastAsia="方正仿宋_GBK"/>
                <w:sz w:val="28"/>
                <w:szCs w:val="28"/>
              </w:rPr>
              <w:t>2. 具备住建部门颁发的《安全生产许可证》得3分；</w:t>
            </w:r>
          </w:p>
          <w:p>
            <w:pPr>
              <w:pStyle w:val="17"/>
              <w:snapToGrid w:val="0"/>
              <w:ind w:left="316" w:hanging="316" w:hangingChars="113"/>
              <w:rPr>
                <w:rFonts w:ascii="方正仿宋_GBK" w:hAnsi="Cambria" w:eastAsia="方正仿宋_GBK"/>
                <w:sz w:val="28"/>
                <w:szCs w:val="28"/>
              </w:rPr>
            </w:pPr>
            <w:r>
              <w:rPr>
                <w:rFonts w:hint="eastAsia" w:ascii="方正仿宋_GBK" w:hAnsi="Cambria" w:eastAsia="方正仿宋_GBK"/>
                <w:sz w:val="28"/>
                <w:szCs w:val="28"/>
              </w:rPr>
              <w:t>3. 具备国家保密局颁发的《涉密信息系统集成资质证书》得2分；</w:t>
            </w:r>
          </w:p>
          <w:p>
            <w:pPr>
              <w:pStyle w:val="17"/>
              <w:snapToGrid w:val="0"/>
              <w:ind w:left="316" w:hanging="316" w:hangingChars="113"/>
              <w:rPr>
                <w:rFonts w:ascii="方正仿宋_GBK" w:hAnsi="Cambria" w:eastAsia="方正仿宋_GBK"/>
                <w:sz w:val="28"/>
                <w:szCs w:val="28"/>
              </w:rPr>
            </w:pPr>
            <w:r>
              <w:rPr>
                <w:rFonts w:hint="eastAsia" w:ascii="方正仿宋_GBK" w:hAnsi="Cambria" w:eastAsia="方正仿宋_GBK"/>
                <w:sz w:val="28"/>
                <w:szCs w:val="28"/>
              </w:rPr>
              <w:t>4. 具备建筑业电子与智能化工程专业承包一级资质得5分。</w:t>
            </w:r>
          </w:p>
          <w:p>
            <w:pPr>
              <w:pStyle w:val="17"/>
              <w:snapToGrid w:val="0"/>
              <w:rPr>
                <w:rFonts w:ascii="方正仿宋_GBK" w:hAnsi="Cambria" w:eastAsia="方正仿宋_GBK"/>
                <w:b/>
                <w:bCs/>
                <w:color w:val="000000" w:themeColor="text1"/>
                <w:sz w:val="28"/>
                <w:szCs w:val="28"/>
                <w14:textFill>
                  <w14:solidFill>
                    <w14:schemeClr w14:val="tx1"/>
                  </w14:solidFill>
                </w14:textFill>
              </w:rPr>
            </w:pPr>
            <w:r>
              <w:rPr>
                <w:rFonts w:hint="eastAsia" w:ascii="方正仿宋_GBK" w:hAnsi="Cambria" w:eastAsia="方正仿宋_GBK"/>
                <w:b/>
                <w:bCs/>
                <w:color w:val="000000" w:themeColor="text1"/>
                <w:sz w:val="28"/>
                <w:szCs w:val="28"/>
                <w14:textFill>
                  <w14:solidFill>
                    <w14:schemeClr w14:val="tx1"/>
                  </w14:solidFill>
                </w14:textFill>
              </w:rPr>
              <w:t>注：所有证书资质均须在有效期内，提供复印件并加盖投标人鲜章，否则不得分。</w:t>
            </w:r>
          </w:p>
          <w:p>
            <w:pPr>
              <w:snapToGrid w:val="0"/>
              <w:spacing w:before="156" w:beforeLines="50"/>
              <w:contextualSpacing/>
              <w:jc w:val="left"/>
              <w:rPr>
                <w:rFonts w:ascii="方正仿宋_GBK" w:hAnsi="Cambria" w:eastAsia="方正仿宋_GBK"/>
                <w:b/>
                <w:bCs/>
                <w:sz w:val="28"/>
                <w:szCs w:val="28"/>
              </w:rPr>
            </w:pPr>
            <w:r>
              <w:rPr>
                <w:rFonts w:hint="eastAsia" w:ascii="方正仿宋_GBK" w:hAnsi="Cambria" w:eastAsia="方正仿宋_GBK"/>
                <w:b/>
                <w:bCs/>
                <w:sz w:val="28"/>
                <w:szCs w:val="28"/>
              </w:rPr>
              <w:t>二、企业业绩（20分）</w:t>
            </w:r>
          </w:p>
          <w:p>
            <w:pPr>
              <w:pStyle w:val="17"/>
              <w:snapToGrid w:val="0"/>
              <w:rPr>
                <w:rFonts w:ascii="方正仿宋_GBK" w:hAnsi="Cambria" w:eastAsia="方正仿宋_GBK"/>
                <w:color w:val="000000" w:themeColor="text1"/>
                <w:sz w:val="28"/>
                <w:szCs w:val="28"/>
                <w14:textFill>
                  <w14:solidFill>
                    <w14:schemeClr w14:val="tx1"/>
                  </w14:solidFill>
                </w14:textFill>
              </w:rPr>
            </w:pPr>
            <w:r>
              <w:rPr>
                <w:rFonts w:hint="eastAsia" w:ascii="方正仿宋_GBK" w:hAnsi="Cambria" w:eastAsia="方正仿宋_GBK"/>
                <w:color w:val="000000" w:themeColor="text1"/>
                <w:sz w:val="28"/>
                <w:szCs w:val="28"/>
                <w14:textFill>
                  <w14:solidFill>
                    <w14:schemeClr w14:val="tx1"/>
                  </w14:solidFill>
                </w14:textFill>
              </w:rPr>
              <w:t>提供近3年来（近3年指：2019年1月1日至本招标文件发出日之间，以合同签订时间为准）与银行业金融机构签订的符合国家公共安全标准的,金额大于100万元的监控报警系统设备安装（含监控联网平台搭建）或维保项目（含监控联网平台维保）合同复印件加盖投标人鲜公章，原件备查。单个合同金额达到100万元（含）的每有1个合同得4分，以此类推，最多得20分。</w:t>
            </w:r>
          </w:p>
          <w:p>
            <w:pPr>
              <w:snapToGrid w:val="0"/>
              <w:contextualSpacing/>
              <w:jc w:val="left"/>
            </w:pPr>
            <w:r>
              <w:rPr>
                <w:rFonts w:hint="eastAsia" w:ascii="方正仿宋_GBK" w:hAnsi="Cambria" w:eastAsia="方正仿宋_GBK"/>
                <w:sz w:val="28"/>
                <w:szCs w:val="28"/>
              </w:rPr>
              <w:t>须同时提供：①案例情况表；②合同原件备查。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6" w:hRule="atLeast"/>
        </w:trPr>
        <w:tc>
          <w:tcPr>
            <w:tcW w:w="1565" w:type="dxa"/>
            <w:vAlign w:val="center"/>
          </w:tcPr>
          <w:p>
            <w:pPr>
              <w:tabs>
                <w:tab w:val="left" w:pos="2835"/>
              </w:tabs>
              <w:snapToGrid w:val="0"/>
              <w:jc w:val="center"/>
              <w:rPr>
                <w:rFonts w:ascii="方正仿宋_GBK" w:hAnsi="Times New Roman" w:eastAsia="方正仿宋_GBK"/>
                <w:sz w:val="28"/>
                <w:szCs w:val="28"/>
              </w:rPr>
            </w:pPr>
            <w:r>
              <w:rPr>
                <w:rFonts w:hint="eastAsia" w:ascii="方正仿宋_GBK" w:hAnsi="Times New Roman" w:eastAsia="方正仿宋_GBK"/>
                <w:sz w:val="28"/>
                <w:szCs w:val="28"/>
              </w:rPr>
              <w:t>技术</w:t>
            </w:r>
          </w:p>
          <w:p>
            <w:pPr>
              <w:tabs>
                <w:tab w:val="left" w:pos="2835"/>
              </w:tabs>
              <w:snapToGrid w:val="0"/>
              <w:jc w:val="center"/>
              <w:rPr>
                <w:rFonts w:ascii="方正仿宋_GBK" w:hAnsi="宋体" w:eastAsia="方正仿宋_GBK"/>
                <w:sz w:val="28"/>
                <w:szCs w:val="28"/>
              </w:rPr>
            </w:pPr>
            <w:r>
              <w:rPr>
                <w:rFonts w:hint="eastAsia" w:ascii="方正仿宋_GBK" w:hAnsi="Times New Roman" w:eastAsia="方正仿宋_GBK"/>
                <w:sz w:val="28"/>
                <w:szCs w:val="28"/>
              </w:rPr>
              <w:t>部分</w:t>
            </w:r>
          </w:p>
        </w:tc>
        <w:tc>
          <w:tcPr>
            <w:tcW w:w="953" w:type="dxa"/>
            <w:vAlign w:val="center"/>
          </w:tcPr>
          <w:p>
            <w:pPr>
              <w:tabs>
                <w:tab w:val="left" w:pos="2835"/>
              </w:tabs>
              <w:snapToGrid w:val="0"/>
              <w:jc w:val="center"/>
              <w:rPr>
                <w:rFonts w:ascii="方正仿宋_GBK" w:hAnsi="宋体" w:eastAsia="方正仿宋_GBK"/>
                <w:sz w:val="28"/>
                <w:szCs w:val="28"/>
              </w:rPr>
            </w:pPr>
            <w:r>
              <w:rPr>
                <w:rFonts w:hint="eastAsia" w:ascii="方正仿宋_GBK" w:hAnsi="宋体" w:eastAsia="方正仿宋_GBK"/>
                <w:sz w:val="28"/>
                <w:szCs w:val="28"/>
              </w:rPr>
              <w:t>10分</w:t>
            </w:r>
          </w:p>
        </w:tc>
        <w:tc>
          <w:tcPr>
            <w:tcW w:w="6662" w:type="dxa"/>
            <w:vAlign w:val="center"/>
          </w:tcPr>
          <w:p>
            <w:pPr>
              <w:pStyle w:val="17"/>
              <w:snapToGrid w:val="0"/>
              <w:rPr>
                <w:rFonts w:ascii="方正仿宋_GBK" w:hAnsi="宋体" w:eastAsia="方正仿宋_GBK"/>
                <w:sz w:val="28"/>
                <w:szCs w:val="28"/>
              </w:rPr>
            </w:pPr>
            <w:r>
              <w:rPr>
                <w:rFonts w:hint="eastAsia" w:ascii="方正仿宋_GBK" w:hAnsi="Cambria" w:eastAsia="方正仿宋_GBK"/>
                <w:sz w:val="28"/>
                <w:szCs w:val="28"/>
              </w:rPr>
              <w:t>评委根据供应商提供的针对本项目的服务方案进行评审，方案应包括：人员安排、异地交通安排、应急方案、防疫方案、环保措施、保密措施等。评委会根据投标人提供的服务方案横向对比评审后进行主观评分。</w:t>
            </w:r>
          </w:p>
        </w:tc>
      </w:tr>
    </w:tbl>
    <w:p>
      <w:pPr>
        <w:pStyle w:val="4"/>
        <w:spacing w:before="0" w:after="0" w:line="600" w:lineRule="exact"/>
        <w:rPr>
          <w:rFonts w:ascii="方正仿宋_GBK" w:hAnsi="宋体" w:eastAsia="方正仿宋_GBK"/>
          <w:bCs w:val="0"/>
          <w:sz w:val="28"/>
          <w:szCs w:val="28"/>
        </w:rPr>
      </w:pPr>
      <w:r>
        <w:rPr>
          <w:rFonts w:hint="eastAsia" w:ascii="方正仿宋_GBK" w:hAnsi="宋体" w:eastAsia="方正仿宋_GBK"/>
          <w:bCs w:val="0"/>
          <w:sz w:val="28"/>
          <w:szCs w:val="28"/>
        </w:rPr>
        <w:t xml:space="preserve">    5. 确定成交供应商</w:t>
      </w:r>
    </w:p>
    <w:p>
      <w:pPr>
        <w:widowControl/>
        <w:spacing w:line="6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评审结束后，磋商小组形成书面的磋商报告，确定成交供应商及成交价。磋商小组按各响应人总得分由高到低顺序推荐成交候选人。综合评分相等时，以总报价低的优先；总报价也相等时，以技术部分评分高的优先；技术部分评分也相同时，以商务部分评分高的优先；商务部分评分也相等时，由评审委员会投票表决确定成交候选人排位顺序。</w:t>
      </w:r>
    </w:p>
    <w:p>
      <w:pPr>
        <w:tabs>
          <w:tab w:val="left" w:pos="1110"/>
        </w:tabs>
        <w:spacing w:line="6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如遇特殊情况不能依序确定成交供应商时，按《重庆银行成都分行采购管理实施细则》相关规定执行。</w:t>
      </w:r>
    </w:p>
    <w:p>
      <w:pPr>
        <w:tabs>
          <w:tab w:val="left" w:pos="540"/>
          <w:tab w:val="left" w:pos="720"/>
        </w:tabs>
        <w:spacing w:line="6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6. 磋商过程保密</w:t>
      </w:r>
    </w:p>
    <w:p>
      <w:pPr>
        <w:tabs>
          <w:tab w:val="left" w:pos="540"/>
          <w:tab w:val="left" w:pos="720"/>
        </w:tabs>
        <w:spacing w:line="6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磋商小组成员不得透露与磋商有关的供应商的技术资料、价格和其他信息。</w:t>
      </w:r>
    </w:p>
    <w:p>
      <w:pPr>
        <w:tabs>
          <w:tab w:val="left" w:pos="540"/>
          <w:tab w:val="left" w:pos="720"/>
        </w:tabs>
        <w:spacing w:line="6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在磋商期间，若供应商有企图影响采购人的任何活动，将导致其磋商活动即时终止，由此而引发的一切法律后果将由其自行承担。</w:t>
      </w:r>
    </w:p>
    <w:p>
      <w:pPr>
        <w:tabs>
          <w:tab w:val="left" w:pos="540"/>
          <w:tab w:val="left" w:pos="720"/>
          <w:tab w:val="left" w:pos="900"/>
        </w:tabs>
        <w:spacing w:line="600" w:lineRule="exact"/>
        <w:rPr>
          <w:rFonts w:ascii="方正仿宋_GBK" w:hAnsi="宋体" w:eastAsia="方正仿宋_GBK"/>
          <w:b/>
          <w:sz w:val="28"/>
          <w:szCs w:val="28"/>
        </w:rPr>
      </w:pPr>
      <w:r>
        <w:rPr>
          <w:rFonts w:hint="eastAsia" w:ascii="方正仿宋_GBK" w:hAnsi="宋体" w:eastAsia="方正仿宋_GBK"/>
          <w:b/>
          <w:sz w:val="28"/>
          <w:szCs w:val="28"/>
        </w:rPr>
        <w:t xml:space="preserve">    </w:t>
      </w:r>
      <w:r>
        <w:rPr>
          <w:rFonts w:hint="eastAsia" w:ascii="方正黑体_GBK" w:hAnsi="方正黑体_GBK" w:eastAsia="方正黑体_GBK" w:cs="方正黑体_GBK"/>
          <w:bCs/>
          <w:sz w:val="28"/>
          <w:szCs w:val="28"/>
        </w:rPr>
        <w:t>十二、成交通知</w:t>
      </w:r>
    </w:p>
    <w:p>
      <w:pPr>
        <w:tabs>
          <w:tab w:val="left" w:pos="540"/>
          <w:tab w:val="left" w:pos="720"/>
        </w:tabs>
        <w:spacing w:line="600" w:lineRule="exact"/>
        <w:ind w:firstLine="560" w:firstLineChars="200"/>
        <w:rPr>
          <w:rFonts w:ascii="方正仿宋_GBK" w:hAnsi="宋体" w:eastAsia="方正仿宋_GBK"/>
          <w:sz w:val="28"/>
          <w:szCs w:val="28"/>
        </w:rPr>
      </w:pPr>
      <w:r>
        <w:rPr>
          <w:rFonts w:hint="eastAsia" w:ascii="方正仿宋_GBK" w:eastAsia="方正仿宋_GBK"/>
          <w:sz w:val="28"/>
          <w:szCs w:val="28"/>
        </w:rPr>
        <w:t>磋商小组的评审结果报重庆银行成都分行有权审批部门审批后，即以书面形式向供应商发出成交通知书。</w:t>
      </w:r>
    </w:p>
    <w:p>
      <w:pPr>
        <w:tabs>
          <w:tab w:val="left" w:pos="540"/>
          <w:tab w:val="left" w:pos="720"/>
        </w:tabs>
        <w:spacing w:line="600" w:lineRule="exact"/>
        <w:ind w:firstLine="560" w:firstLineChars="200"/>
        <w:rPr>
          <w:rFonts w:ascii="方正仿宋_GBK" w:hAnsi="宋体" w:eastAsia="方正仿宋_GBK"/>
          <w:b/>
          <w:sz w:val="28"/>
          <w:szCs w:val="28"/>
        </w:rPr>
      </w:pPr>
      <w:r>
        <w:rPr>
          <w:rFonts w:hint="eastAsia" w:ascii="方正仿宋_GBK" w:hAnsi="宋体" w:eastAsia="方正仿宋_GBK"/>
          <w:sz w:val="28"/>
          <w:szCs w:val="28"/>
        </w:rPr>
        <w:t>采购人无义务向供应商解释磋商失败原因，竞争性磋商响应文件概不退还（包括U盘）。</w:t>
      </w:r>
    </w:p>
    <w:p>
      <w:pPr>
        <w:tabs>
          <w:tab w:val="left" w:pos="540"/>
          <w:tab w:val="left" w:pos="720"/>
          <w:tab w:val="left" w:pos="900"/>
        </w:tabs>
        <w:spacing w:line="600" w:lineRule="exact"/>
        <w:ind w:firstLine="570"/>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rPr>
        <w:t>十三、履约保证金</w:t>
      </w:r>
    </w:p>
    <w:p>
      <w:pPr>
        <w:tabs>
          <w:tab w:val="left" w:pos="540"/>
          <w:tab w:val="left" w:pos="720"/>
          <w:tab w:val="left" w:pos="900"/>
        </w:tabs>
        <w:spacing w:line="600" w:lineRule="exact"/>
        <w:ind w:firstLine="570"/>
        <w:rPr>
          <w:rFonts w:ascii="仿宋_GB2312" w:hAnsi="宋体" w:eastAsia="仿宋_GB2312"/>
          <w:sz w:val="28"/>
          <w:szCs w:val="28"/>
        </w:rPr>
      </w:pPr>
      <w:r>
        <w:rPr>
          <w:rFonts w:hint="eastAsia" w:ascii="仿宋_GB2312" w:hAnsi="宋体" w:eastAsia="仿宋_GB2312"/>
          <w:sz w:val="28"/>
          <w:szCs w:val="28"/>
        </w:rPr>
        <w:t>（一）成交供应商应在签订合同前提交</w:t>
      </w:r>
      <w:r>
        <w:rPr>
          <w:rFonts w:hint="eastAsia" w:ascii="方正仿宋_GBK" w:hAnsi="宋体" w:eastAsia="方正仿宋_GBK"/>
          <w:color w:val="000000" w:themeColor="text1"/>
          <w:sz w:val="28"/>
          <w:szCs w:val="28"/>
          <w14:textFill>
            <w14:solidFill>
              <w14:schemeClr w14:val="tx1"/>
            </w14:solidFill>
          </w14:textFill>
        </w:rPr>
        <w:t>成交价</w:t>
      </w:r>
      <w:r>
        <w:rPr>
          <w:rFonts w:hint="eastAsia" w:ascii="仿宋_GB2312" w:hAnsi="宋体" w:eastAsia="仿宋_GB2312"/>
          <w:color w:val="000000" w:themeColor="text1"/>
          <w:sz w:val="28"/>
          <w:szCs w:val="28"/>
          <w14:textFill>
            <w14:solidFill>
              <w14:schemeClr w14:val="tx1"/>
            </w14:solidFill>
          </w14:textFill>
        </w:rPr>
        <w:t>的</w:t>
      </w:r>
      <w:r>
        <w:rPr>
          <w:rFonts w:ascii="仿宋_GB2312" w:hAnsi="宋体" w:eastAsia="仿宋_GB2312"/>
          <w:b/>
          <w:bCs/>
          <w:color w:val="000000" w:themeColor="text1"/>
          <w:sz w:val="28"/>
          <w:szCs w:val="28"/>
          <w14:textFill>
            <w14:solidFill>
              <w14:schemeClr w14:val="tx1"/>
            </w14:solidFill>
          </w14:textFill>
        </w:rPr>
        <w:t>3</w:t>
      </w:r>
      <w:r>
        <w:rPr>
          <w:rFonts w:hint="eastAsia" w:ascii="仿宋_GB2312" w:hAnsi="宋体" w:eastAsia="仿宋_GB2312"/>
          <w:b/>
          <w:bCs/>
          <w:color w:val="000000" w:themeColor="text1"/>
          <w:sz w:val="28"/>
          <w:szCs w:val="28"/>
          <w14:textFill>
            <w14:solidFill>
              <w14:schemeClr w14:val="tx1"/>
            </w14:solidFill>
          </w14:textFill>
        </w:rPr>
        <w:t>%</w:t>
      </w:r>
      <w:r>
        <w:rPr>
          <w:rFonts w:hint="eastAsia" w:ascii="仿宋_GB2312" w:hAnsi="宋体" w:eastAsia="仿宋_GB2312"/>
          <w:color w:val="000000" w:themeColor="text1"/>
          <w:sz w:val="28"/>
          <w:szCs w:val="28"/>
          <w14:textFill>
            <w14:solidFill>
              <w14:schemeClr w14:val="tx1"/>
            </w14:solidFill>
          </w14:textFill>
        </w:rPr>
        <w:t>作为履</w:t>
      </w:r>
      <w:r>
        <w:rPr>
          <w:rFonts w:hint="eastAsia" w:ascii="仿宋_GB2312" w:hAnsi="宋体" w:eastAsia="仿宋_GB2312"/>
          <w:sz w:val="28"/>
          <w:szCs w:val="28"/>
        </w:rPr>
        <w:t>约保证金。</w:t>
      </w:r>
    </w:p>
    <w:p>
      <w:pPr>
        <w:tabs>
          <w:tab w:val="left" w:pos="540"/>
          <w:tab w:val="left" w:pos="720"/>
          <w:tab w:val="left" w:pos="900"/>
        </w:tabs>
        <w:spacing w:line="600" w:lineRule="exact"/>
        <w:ind w:firstLine="570"/>
        <w:rPr>
          <w:rFonts w:ascii="仿宋_GB2312" w:hAnsi="宋体" w:eastAsia="仿宋_GB2312"/>
          <w:sz w:val="28"/>
          <w:szCs w:val="28"/>
        </w:rPr>
      </w:pPr>
      <w:r>
        <w:rPr>
          <w:rFonts w:hint="eastAsia" w:ascii="仿宋_GB2312" w:hAnsi="宋体" w:eastAsia="仿宋_GB2312"/>
          <w:sz w:val="28"/>
          <w:szCs w:val="28"/>
        </w:rPr>
        <w:t>（二）履约保证金在合同履行完毕后</w:t>
      </w:r>
      <w:r>
        <w:rPr>
          <w:rFonts w:ascii="仿宋_GB2312" w:hAnsi="宋体" w:eastAsia="仿宋_GB2312"/>
          <w:sz w:val="28"/>
          <w:szCs w:val="28"/>
        </w:rPr>
        <w:t>退还（不计息）。如供应商在履约过程中，有违约情况发生，将扣除违约金后退还余额。</w:t>
      </w:r>
    </w:p>
    <w:p>
      <w:pPr>
        <w:tabs>
          <w:tab w:val="left" w:pos="540"/>
          <w:tab w:val="left" w:pos="720"/>
          <w:tab w:val="left" w:pos="900"/>
        </w:tabs>
        <w:spacing w:line="600" w:lineRule="exact"/>
        <w:ind w:firstLine="570"/>
        <w:rPr>
          <w:rFonts w:ascii="方正黑体_GBK" w:hAnsi="方正黑体_GBK" w:eastAsia="方正黑体_GBK" w:cs="方正黑体_GBK"/>
          <w:bCs/>
          <w:sz w:val="28"/>
          <w:szCs w:val="28"/>
        </w:rPr>
      </w:pPr>
      <w:r>
        <w:rPr>
          <w:rFonts w:hint="eastAsia" w:ascii="方正黑体_GBK" w:hAnsi="方正黑体_GBK" w:eastAsia="方正黑体_GBK" w:cs="方正黑体_GBK"/>
          <w:b/>
          <w:sz w:val="28"/>
          <w:szCs w:val="28"/>
        </w:rPr>
        <w:t xml:space="preserve"> </w:t>
      </w:r>
      <w:r>
        <w:rPr>
          <w:rFonts w:hint="eastAsia" w:ascii="方正黑体_GBK" w:hAnsi="方正黑体_GBK" w:eastAsia="方正黑体_GBK" w:cs="方正黑体_GBK"/>
          <w:bCs/>
          <w:sz w:val="28"/>
          <w:szCs w:val="28"/>
        </w:rPr>
        <w:t>十四、合同授予</w:t>
      </w:r>
    </w:p>
    <w:p>
      <w:pPr>
        <w:tabs>
          <w:tab w:val="left" w:pos="540"/>
          <w:tab w:val="left" w:pos="720"/>
          <w:tab w:val="left" w:pos="900"/>
        </w:tabs>
        <w:spacing w:line="600" w:lineRule="exact"/>
        <w:ind w:firstLine="570"/>
        <w:rPr>
          <w:rFonts w:ascii="方正仿宋_GBK" w:hAnsi="宋体" w:eastAsia="方正仿宋_GBK"/>
          <w:sz w:val="28"/>
          <w:szCs w:val="28"/>
        </w:rPr>
      </w:pPr>
      <w:r>
        <w:rPr>
          <w:rFonts w:hint="eastAsia" w:ascii="方正仿宋_GBK" w:hAnsi="宋体" w:eastAsia="方正仿宋_GBK"/>
          <w:sz w:val="28"/>
          <w:szCs w:val="28"/>
        </w:rPr>
        <w:t>供应商收到成交通知书后30日内,应按成交通知书中规定的时间、地点与采购人签订书面的协议。协议的部分条款见本文件第四部分。</w:t>
      </w:r>
    </w:p>
    <w:p>
      <w:pPr>
        <w:tabs>
          <w:tab w:val="left" w:pos="540"/>
          <w:tab w:val="left" w:pos="720"/>
          <w:tab w:val="left" w:pos="900"/>
        </w:tabs>
        <w:spacing w:line="600" w:lineRule="exact"/>
        <w:ind w:firstLine="570"/>
        <w:rPr>
          <w:rFonts w:ascii="方正仿宋_GBK" w:hAnsi="宋体" w:eastAsia="方正仿宋_GBK"/>
          <w:sz w:val="28"/>
          <w:szCs w:val="28"/>
        </w:rPr>
      </w:pPr>
      <w:r>
        <w:rPr>
          <w:rFonts w:hint="eastAsia" w:ascii="方正仿宋_GBK" w:hAnsi="宋体" w:eastAsia="方正仿宋_GBK"/>
          <w:sz w:val="28"/>
          <w:szCs w:val="28"/>
        </w:rPr>
        <w:t>如供应商在规定的时间内拒签合同,则采购人将有权取消其成交资格，且两年内不得参与重庆银行的采购活动。同时给采购人造成损失的，采购人保留向其追偿损失的权利。</w:t>
      </w:r>
    </w:p>
    <w:p>
      <w:pPr>
        <w:tabs>
          <w:tab w:val="left" w:pos="540"/>
          <w:tab w:val="left" w:pos="720"/>
          <w:tab w:val="left" w:pos="900"/>
        </w:tabs>
        <w:spacing w:line="600" w:lineRule="exact"/>
        <w:ind w:firstLine="570"/>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rPr>
        <w:t>十五、其他</w:t>
      </w:r>
    </w:p>
    <w:p>
      <w:pPr>
        <w:numPr>
          <w:ilvl w:val="0"/>
          <w:numId w:val="3"/>
        </w:numPr>
        <w:tabs>
          <w:tab w:val="left" w:pos="0"/>
          <w:tab w:val="left" w:pos="720"/>
        </w:tabs>
        <w:spacing w:line="600" w:lineRule="exact"/>
        <w:ind w:left="0" w:firstLine="538" w:firstLineChars="192"/>
        <w:rPr>
          <w:rFonts w:ascii="方正仿宋_GBK" w:hAnsi="宋体" w:eastAsia="方正仿宋_GBK"/>
          <w:sz w:val="28"/>
          <w:szCs w:val="28"/>
        </w:rPr>
      </w:pPr>
      <w:r>
        <w:rPr>
          <w:rFonts w:hint="eastAsia" w:ascii="方正仿宋_GBK" w:hAnsi="宋体" w:eastAsia="方正仿宋_GBK"/>
          <w:sz w:val="28"/>
          <w:szCs w:val="28"/>
        </w:rPr>
        <w:t>凡参加本次磋商的供应商均被视为接受上述采购项目的磋商要求。</w:t>
      </w:r>
    </w:p>
    <w:p>
      <w:pPr>
        <w:numPr>
          <w:ilvl w:val="0"/>
          <w:numId w:val="3"/>
        </w:numPr>
        <w:tabs>
          <w:tab w:val="left" w:pos="0"/>
          <w:tab w:val="left" w:pos="720"/>
        </w:tabs>
        <w:spacing w:line="600" w:lineRule="exact"/>
        <w:ind w:left="0" w:firstLine="538" w:firstLineChars="192"/>
        <w:rPr>
          <w:rFonts w:ascii="方正仿宋_GBK" w:eastAsia="方正仿宋_GBK"/>
          <w:b/>
          <w:bCs/>
          <w:kern w:val="44"/>
          <w:sz w:val="36"/>
          <w:szCs w:val="36"/>
        </w:rPr>
      </w:pPr>
      <w:r>
        <w:rPr>
          <w:rFonts w:hint="eastAsia" w:ascii="方正仿宋_GBK" w:hAnsi="宋体" w:eastAsia="方正仿宋_GBK"/>
          <w:sz w:val="28"/>
          <w:szCs w:val="28"/>
        </w:rPr>
        <w:t>竞争性磋商响应文件从磋商之日起,其有效期为90个日历天。</w:t>
      </w:r>
    </w:p>
    <w:p>
      <w:pPr>
        <w:tabs>
          <w:tab w:val="left" w:pos="0"/>
          <w:tab w:val="left" w:pos="720"/>
          <w:tab w:val="left" w:pos="1018"/>
        </w:tabs>
        <w:ind w:left="691"/>
        <w:jc w:val="center"/>
        <w:rPr>
          <w:rFonts w:ascii="方正仿宋_GBK" w:eastAsia="方正仿宋_GBK"/>
          <w:sz w:val="36"/>
          <w:szCs w:val="36"/>
        </w:rPr>
        <w:sectPr>
          <w:headerReference r:id="rId6" w:type="first"/>
          <w:headerReference r:id="rId5" w:type="default"/>
          <w:footerReference r:id="rId7" w:type="default"/>
          <w:endnotePr>
            <w:numFmt w:val="decimal"/>
          </w:endnotePr>
          <w:pgSz w:w="11907" w:h="16840"/>
          <w:pgMar w:top="1418" w:right="1134" w:bottom="1418" w:left="1134" w:header="964"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pStyle w:val="3"/>
        <w:jc w:val="center"/>
        <w:rPr>
          <w:rFonts w:ascii="方正仿宋_GBK" w:eastAsia="方正仿宋_GBK"/>
          <w:sz w:val="36"/>
          <w:szCs w:val="36"/>
        </w:rPr>
      </w:pPr>
      <w:bookmarkStart w:id="2" w:name="_Toc522629844"/>
      <w:r>
        <w:rPr>
          <w:rFonts w:hint="eastAsia" w:ascii="方正仿宋_GBK" w:eastAsia="方正仿宋_GBK"/>
          <w:sz w:val="36"/>
          <w:szCs w:val="36"/>
        </w:rPr>
        <w:t xml:space="preserve">第三部分 </w:t>
      </w:r>
      <w:r>
        <w:rPr>
          <w:rFonts w:hint="eastAsia" w:eastAsia="方正仿宋_GBK"/>
          <w:sz w:val="36"/>
          <w:szCs w:val="36"/>
        </w:rPr>
        <w:t>  </w:t>
      </w:r>
      <w:bookmarkStart w:id="3" w:name="_Toc306798294"/>
      <w:r>
        <w:rPr>
          <w:rFonts w:hint="eastAsia" w:ascii="方正仿宋_GBK" w:eastAsia="方正仿宋_GBK"/>
          <w:sz w:val="36"/>
          <w:szCs w:val="36"/>
        </w:rPr>
        <w:t>服务</w:t>
      </w:r>
      <w:bookmarkEnd w:id="3"/>
      <w:r>
        <w:rPr>
          <w:rFonts w:hint="eastAsia" w:ascii="方正仿宋_GBK" w:eastAsia="方正仿宋_GBK"/>
          <w:sz w:val="36"/>
          <w:szCs w:val="36"/>
        </w:rPr>
        <w:t>要求</w:t>
      </w:r>
      <w:bookmarkEnd w:id="2"/>
      <w:r>
        <w:rPr>
          <w:rFonts w:hint="eastAsia" w:ascii="方正仿宋_GBK" w:eastAsia="方正仿宋_GBK"/>
          <w:sz w:val="36"/>
          <w:szCs w:val="36"/>
        </w:rPr>
        <w:t>（详见第一部分）</w:t>
      </w:r>
    </w:p>
    <w:p>
      <w:pPr>
        <w:rPr>
          <w:rFonts w:ascii="方正仿宋_GBK" w:eastAsia="方正仿宋_GBK"/>
          <w:sz w:val="36"/>
          <w:szCs w:val="36"/>
        </w:rPr>
      </w:pPr>
    </w:p>
    <w:p>
      <w:pPr>
        <w:pStyle w:val="4"/>
        <w:rPr>
          <w:rFonts w:ascii="方正仿宋_GBK" w:eastAsia="方正仿宋_GBK"/>
          <w:sz w:val="36"/>
          <w:szCs w:val="36"/>
        </w:rPr>
      </w:pPr>
    </w:p>
    <w:p>
      <w:pPr>
        <w:rPr>
          <w:rFonts w:ascii="方正仿宋_GBK" w:eastAsia="方正仿宋_GBK"/>
          <w:sz w:val="36"/>
          <w:szCs w:val="36"/>
        </w:rPr>
      </w:pPr>
    </w:p>
    <w:p>
      <w:pPr>
        <w:pStyle w:val="4"/>
        <w:rPr>
          <w:rFonts w:ascii="方正仿宋_GBK" w:eastAsia="方正仿宋_GBK"/>
          <w:sz w:val="36"/>
          <w:szCs w:val="36"/>
        </w:rPr>
      </w:pPr>
    </w:p>
    <w:p>
      <w:pPr>
        <w:rPr>
          <w:rFonts w:ascii="方正仿宋_GBK" w:eastAsia="方正仿宋_GBK"/>
          <w:sz w:val="36"/>
          <w:szCs w:val="36"/>
        </w:rPr>
      </w:pPr>
    </w:p>
    <w:p>
      <w:pPr>
        <w:pStyle w:val="4"/>
        <w:rPr>
          <w:rFonts w:ascii="方正仿宋_GBK" w:eastAsia="方正仿宋_GBK"/>
          <w:sz w:val="36"/>
          <w:szCs w:val="36"/>
        </w:rPr>
      </w:pPr>
    </w:p>
    <w:p>
      <w:pPr>
        <w:rPr>
          <w:rFonts w:ascii="方正仿宋_GBK" w:eastAsia="方正仿宋_GBK"/>
          <w:sz w:val="36"/>
          <w:szCs w:val="36"/>
        </w:rPr>
      </w:pPr>
    </w:p>
    <w:p>
      <w:pPr>
        <w:pStyle w:val="4"/>
        <w:rPr>
          <w:rFonts w:ascii="方正仿宋_GBK" w:eastAsia="方正仿宋_GBK"/>
          <w:sz w:val="36"/>
          <w:szCs w:val="36"/>
        </w:rPr>
      </w:pPr>
    </w:p>
    <w:p>
      <w:pPr>
        <w:rPr>
          <w:rFonts w:ascii="方正仿宋_GBK" w:eastAsia="方正仿宋_GBK"/>
          <w:sz w:val="36"/>
          <w:szCs w:val="36"/>
        </w:rPr>
      </w:pPr>
    </w:p>
    <w:p>
      <w:pPr>
        <w:pStyle w:val="4"/>
        <w:rPr>
          <w:rFonts w:ascii="方正仿宋_GBK" w:eastAsia="方正仿宋_GBK"/>
          <w:sz w:val="36"/>
          <w:szCs w:val="36"/>
        </w:rPr>
      </w:pPr>
    </w:p>
    <w:p>
      <w:pPr>
        <w:rPr>
          <w:rFonts w:ascii="方正仿宋_GBK" w:eastAsia="方正仿宋_GBK"/>
          <w:sz w:val="36"/>
          <w:szCs w:val="36"/>
        </w:rPr>
      </w:pPr>
    </w:p>
    <w:p>
      <w:pPr>
        <w:pStyle w:val="4"/>
      </w:pPr>
    </w:p>
    <w:p/>
    <w:p>
      <w:pPr>
        <w:pStyle w:val="4"/>
      </w:pPr>
    </w:p>
    <w:p>
      <w:pPr>
        <w:pStyle w:val="3"/>
        <w:spacing w:before="0" w:after="0" w:line="400" w:lineRule="exact"/>
        <w:ind w:firstLine="723" w:firstLineChars="200"/>
        <w:jc w:val="center"/>
        <w:rPr>
          <w:rFonts w:ascii="方正仿宋_GBK" w:eastAsia="方正仿宋_GBK"/>
          <w:sz w:val="36"/>
          <w:szCs w:val="36"/>
        </w:rPr>
      </w:pPr>
      <w:bookmarkStart w:id="4" w:name="_Toc522629845"/>
    </w:p>
    <w:p>
      <w:pPr>
        <w:pStyle w:val="3"/>
        <w:spacing w:before="0" w:after="0" w:line="400" w:lineRule="exact"/>
        <w:ind w:firstLine="723" w:firstLineChars="200"/>
        <w:jc w:val="center"/>
        <w:rPr>
          <w:rFonts w:ascii="方正仿宋_GBK" w:eastAsia="方正仿宋_GBK"/>
          <w:sz w:val="36"/>
          <w:szCs w:val="36"/>
        </w:rPr>
      </w:pPr>
      <w:r>
        <w:rPr>
          <w:rFonts w:hint="eastAsia" w:ascii="方正仿宋_GBK" w:eastAsia="方正仿宋_GBK"/>
          <w:sz w:val="36"/>
          <w:szCs w:val="36"/>
        </w:rPr>
        <w:t>第四部分</w:t>
      </w:r>
      <w:r>
        <w:rPr>
          <w:rFonts w:hint="eastAsia" w:eastAsia="方正仿宋_GBK"/>
          <w:sz w:val="36"/>
          <w:szCs w:val="36"/>
        </w:rPr>
        <w:t>  </w:t>
      </w:r>
      <w:r>
        <w:rPr>
          <w:rFonts w:hint="eastAsia" w:ascii="方正仿宋_GBK" w:eastAsia="方正仿宋_GBK"/>
          <w:sz w:val="36"/>
          <w:szCs w:val="36"/>
        </w:rPr>
        <w:t xml:space="preserve"> 合同条款（部分）</w:t>
      </w:r>
      <w:bookmarkEnd w:id="4"/>
    </w:p>
    <w:p>
      <w:pPr>
        <w:spacing w:line="400" w:lineRule="exact"/>
        <w:rPr>
          <w:rFonts w:ascii="宋体" w:hAnsi="宋体" w:cs="宋体"/>
          <w:b/>
          <w:sz w:val="48"/>
          <w:szCs w:val="48"/>
        </w:rPr>
      </w:pPr>
      <w:bookmarkStart w:id="5" w:name="_Toc275199633"/>
      <w:bookmarkStart w:id="6" w:name="_Toc306798303"/>
      <w:r>
        <w:rPr>
          <w:rFonts w:hint="eastAsia" w:ascii="方正仿宋_GBK" w:hAnsi="宋体" w:eastAsia="方正仿宋_GBK"/>
          <w:b/>
          <w:sz w:val="28"/>
          <w:szCs w:val="28"/>
        </w:rPr>
        <w:t>合同主要条款</w:t>
      </w:r>
      <w:bookmarkEnd w:id="5"/>
      <w:bookmarkEnd w:id="6"/>
      <w:r>
        <w:rPr>
          <w:rFonts w:hint="eastAsia" w:ascii="方正仿宋_GBK" w:hAnsi="宋体" w:eastAsia="方正仿宋_GBK"/>
          <w:b/>
          <w:sz w:val="28"/>
          <w:szCs w:val="28"/>
        </w:rPr>
        <w:t>内容如下（最终合同内容及版式以成都分行法律审查后为准）：</w:t>
      </w:r>
    </w:p>
    <w:p>
      <w:pPr>
        <w:spacing w:line="480" w:lineRule="auto"/>
        <w:jc w:val="center"/>
        <w:rPr>
          <w:rFonts w:ascii="宋体" w:hAnsi="宋体" w:cs="宋体"/>
          <w:b/>
          <w:sz w:val="48"/>
          <w:szCs w:val="48"/>
        </w:rPr>
      </w:pPr>
    </w:p>
    <w:p>
      <w:pPr>
        <w:spacing w:line="480" w:lineRule="auto"/>
        <w:jc w:val="center"/>
        <w:rPr>
          <w:rFonts w:ascii="宋体" w:hAnsi="宋体" w:cs="宋体"/>
          <w:b/>
          <w:sz w:val="48"/>
          <w:szCs w:val="48"/>
        </w:rPr>
      </w:pPr>
      <w:r>
        <w:rPr>
          <w:rFonts w:hint="eastAsia" w:ascii="宋体" w:hAnsi="宋体" w:cs="宋体"/>
          <w:b/>
          <w:sz w:val="48"/>
          <w:szCs w:val="48"/>
        </w:rPr>
        <w:t>重庆银行成都分行远程联网监控中心管理平台软硬件改造项目合同</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center"/>
        <w:rPr>
          <w:rFonts w:ascii="宋体" w:hAnsi="宋体"/>
          <w:sz w:val="30"/>
          <w:szCs w:val="30"/>
        </w:rPr>
      </w:pPr>
      <w:r>
        <w:rPr>
          <w:rFonts w:hint="eastAsia" w:ascii="宋体" w:hAnsi="宋体"/>
          <w:sz w:val="30"/>
          <w:szCs w:val="30"/>
        </w:rPr>
        <w:t>签订时间：  年  月  日</w:t>
      </w:r>
    </w:p>
    <w:p>
      <w:pPr>
        <w:pStyle w:val="5"/>
        <w:spacing w:before="240" w:line="620" w:lineRule="exact"/>
        <w:rPr>
          <w:rFonts w:ascii="方正仿宋_GBK" w:eastAsia="方正仿宋_GBK"/>
          <w:szCs w:val="32"/>
        </w:rPr>
      </w:pPr>
    </w:p>
    <w:p>
      <w:pPr>
        <w:pStyle w:val="5"/>
        <w:spacing w:before="240" w:line="620" w:lineRule="exact"/>
        <w:rPr>
          <w:rFonts w:ascii="方正仿宋_GBK" w:eastAsia="方正仿宋_GBK"/>
          <w:szCs w:val="32"/>
        </w:rPr>
      </w:pPr>
    </w:p>
    <w:p>
      <w:pPr>
        <w:pStyle w:val="5"/>
        <w:spacing w:before="240" w:line="620" w:lineRule="exact"/>
        <w:rPr>
          <w:rFonts w:ascii="方正仿宋_GBK" w:eastAsia="方正仿宋_GBK"/>
          <w:szCs w:val="32"/>
        </w:rPr>
      </w:pPr>
      <w:r>
        <w:rPr>
          <w:rFonts w:hint="eastAsia" w:ascii="方正仿宋_GBK" w:eastAsia="方正仿宋_GBK"/>
          <w:szCs w:val="32"/>
        </w:rPr>
        <w:t>甲方：重庆银行股份有限公司成都分行</w:t>
      </w:r>
    </w:p>
    <w:p>
      <w:pPr>
        <w:pStyle w:val="5"/>
        <w:spacing w:line="620" w:lineRule="exact"/>
        <w:rPr>
          <w:rFonts w:ascii="方正仿宋_GBK" w:eastAsia="方正仿宋_GBK"/>
          <w:szCs w:val="32"/>
        </w:rPr>
      </w:pPr>
      <w:r>
        <w:rPr>
          <w:rFonts w:hint="eastAsia" w:ascii="方正仿宋_GBK" w:eastAsia="方正仿宋_GBK"/>
          <w:szCs w:val="32"/>
        </w:rPr>
        <w:t>地址：</w:t>
      </w:r>
    </w:p>
    <w:p>
      <w:pPr>
        <w:pStyle w:val="5"/>
        <w:spacing w:line="620" w:lineRule="exact"/>
        <w:rPr>
          <w:rFonts w:ascii="方正仿宋_GBK" w:eastAsia="方正仿宋_GBK"/>
          <w:szCs w:val="32"/>
        </w:rPr>
      </w:pPr>
      <w:r>
        <w:rPr>
          <w:rFonts w:hint="eastAsia" w:ascii="方正仿宋_GBK" w:eastAsia="方正仿宋_GBK"/>
          <w:szCs w:val="32"/>
        </w:rPr>
        <w:t>邮政编码：</w:t>
      </w:r>
    </w:p>
    <w:p>
      <w:pPr>
        <w:pStyle w:val="5"/>
        <w:spacing w:line="620" w:lineRule="exact"/>
        <w:rPr>
          <w:rFonts w:ascii="方正仿宋_GBK" w:eastAsia="方正仿宋_GBK"/>
          <w:szCs w:val="32"/>
        </w:rPr>
      </w:pPr>
      <w:r>
        <w:rPr>
          <w:rFonts w:hint="eastAsia" w:ascii="方正仿宋_GBK" w:eastAsia="方正仿宋_GBK"/>
          <w:szCs w:val="32"/>
        </w:rPr>
        <w:t>联系电话：</w:t>
      </w:r>
    </w:p>
    <w:p>
      <w:pPr>
        <w:pStyle w:val="5"/>
        <w:spacing w:line="620" w:lineRule="exact"/>
        <w:rPr>
          <w:rFonts w:ascii="方正仿宋_GBK" w:eastAsia="方正仿宋_GBK"/>
          <w:szCs w:val="32"/>
        </w:rPr>
      </w:pPr>
    </w:p>
    <w:p>
      <w:pPr>
        <w:pStyle w:val="5"/>
        <w:spacing w:line="620" w:lineRule="exact"/>
        <w:rPr>
          <w:rFonts w:ascii="方正仿宋_GBK" w:eastAsia="方正仿宋_GBK"/>
          <w:szCs w:val="32"/>
        </w:rPr>
      </w:pPr>
      <w:r>
        <w:rPr>
          <w:rFonts w:hint="eastAsia" w:ascii="方正仿宋_GBK" w:eastAsia="方正仿宋_GBK"/>
          <w:szCs w:val="32"/>
        </w:rPr>
        <w:t>乙方：</w:t>
      </w:r>
    </w:p>
    <w:p>
      <w:pPr>
        <w:pStyle w:val="5"/>
        <w:spacing w:line="620" w:lineRule="exact"/>
        <w:rPr>
          <w:rFonts w:ascii="方正仿宋_GBK" w:eastAsia="方正仿宋_GBK"/>
          <w:szCs w:val="32"/>
        </w:rPr>
      </w:pPr>
      <w:r>
        <w:rPr>
          <w:rFonts w:hint="eastAsia" w:ascii="方正仿宋_GBK" w:eastAsia="方正仿宋_GBK"/>
          <w:szCs w:val="32"/>
        </w:rPr>
        <w:t>地址：</w:t>
      </w:r>
    </w:p>
    <w:p>
      <w:pPr>
        <w:pStyle w:val="5"/>
        <w:spacing w:line="620" w:lineRule="exact"/>
        <w:rPr>
          <w:rFonts w:ascii="方正仿宋_GBK" w:eastAsia="方正仿宋_GBK"/>
          <w:szCs w:val="32"/>
        </w:rPr>
      </w:pPr>
      <w:r>
        <w:rPr>
          <w:rFonts w:hint="eastAsia" w:ascii="方正仿宋_GBK" w:eastAsia="方正仿宋_GBK"/>
          <w:szCs w:val="32"/>
        </w:rPr>
        <w:t>邮政编码：</w:t>
      </w:r>
    </w:p>
    <w:p>
      <w:pPr>
        <w:pStyle w:val="5"/>
        <w:spacing w:line="620" w:lineRule="exact"/>
        <w:rPr>
          <w:rFonts w:ascii="方正仿宋_GBK" w:eastAsia="方正仿宋_GBK"/>
          <w:szCs w:val="32"/>
        </w:rPr>
      </w:pPr>
      <w:r>
        <w:rPr>
          <w:rFonts w:hint="eastAsia" w:ascii="方正仿宋_GBK" w:eastAsia="方正仿宋_GBK"/>
          <w:szCs w:val="32"/>
        </w:rPr>
        <w:t>联系电话：</w:t>
      </w:r>
    </w:p>
    <w:p>
      <w:pPr>
        <w:pStyle w:val="5"/>
        <w:spacing w:line="620" w:lineRule="exact"/>
        <w:ind w:firstLine="560" w:firstLineChars="200"/>
        <w:rPr>
          <w:rFonts w:ascii="方正仿宋_GBK" w:eastAsia="方正仿宋_GBK"/>
          <w:szCs w:val="32"/>
        </w:rPr>
      </w:pPr>
    </w:p>
    <w:p>
      <w:pPr>
        <w:spacing w:line="600" w:lineRule="exact"/>
        <w:ind w:firstLine="560" w:firstLineChars="200"/>
        <w:rPr>
          <w:rFonts w:ascii="方正仿宋_GBK" w:hAnsi="方正仿宋_GBK" w:eastAsia="方正仿宋_GBK" w:cs="方正仿宋_GBK"/>
          <w:sz w:val="28"/>
          <w:szCs w:val="28"/>
        </w:rPr>
      </w:pPr>
      <w:bookmarkStart w:id="7" w:name="_Toc522629846"/>
      <w:r>
        <w:rPr>
          <w:rFonts w:hint="eastAsia" w:ascii="方正仿宋_GBK" w:hAnsi="方正仿宋_GBK" w:eastAsia="方正仿宋_GBK" w:cs="方正仿宋_GBK"/>
          <w:sz w:val="28"/>
          <w:szCs w:val="28"/>
        </w:rPr>
        <w:t>根据《中华人民共和国民法典》、《中华人民共和国建筑法》及有关法律规定和重庆银行股份有限公司相关内部管理规章，在遵循平等、自愿、公平和诚实信用的原则下，双方就重庆银行成都分行联网监控中心管理平台软硬件改造项目有关事项协商一致，共同达成如下协议：</w:t>
      </w:r>
    </w:p>
    <w:p>
      <w:pPr>
        <w:spacing w:line="6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一、合同文件</w:t>
      </w:r>
    </w:p>
    <w:p>
      <w:pPr>
        <w:spacing w:line="60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下列关于</w:t>
      </w:r>
      <w:r>
        <w:rPr>
          <w:rFonts w:hint="eastAsia" w:ascii="方正仿宋_GBK" w:hAnsi="方正仿宋_GBK" w:eastAsia="方正仿宋_GBK" w:cs="方正仿宋_GBK"/>
          <w:sz w:val="28"/>
          <w:szCs w:val="28"/>
        </w:rPr>
        <w:t>重庆银行成都分行联网监控中心管理平台软硬件改造项目</w:t>
      </w:r>
      <w:r>
        <w:rPr>
          <w:rFonts w:hint="eastAsia" w:ascii="方正仿宋_GBK" w:hAnsi="方正仿宋_GBK" w:eastAsia="方正仿宋_GBK" w:cs="方正仿宋_GBK"/>
          <w:bCs/>
          <w:sz w:val="28"/>
          <w:szCs w:val="28"/>
        </w:rPr>
        <w:t>的招标文件是构成本合同不可分割的部分：</w:t>
      </w:r>
    </w:p>
    <w:p>
      <w:pPr>
        <w:tabs>
          <w:tab w:val="left" w:pos="540"/>
        </w:tabs>
        <w:spacing w:line="600" w:lineRule="exact"/>
        <w:ind w:firstLine="560" w:firstLineChars="200"/>
        <w:jc w:val="left"/>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 合同条款及前附表；</w:t>
      </w:r>
    </w:p>
    <w:p>
      <w:pPr>
        <w:tabs>
          <w:tab w:val="left" w:pos="540"/>
        </w:tabs>
        <w:spacing w:line="600" w:lineRule="exact"/>
        <w:ind w:firstLine="560" w:firstLineChars="200"/>
        <w:jc w:val="left"/>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2. 乙方提交的投标文件；</w:t>
      </w:r>
    </w:p>
    <w:p>
      <w:pPr>
        <w:tabs>
          <w:tab w:val="left" w:pos="540"/>
        </w:tabs>
        <w:spacing w:line="600" w:lineRule="exact"/>
        <w:ind w:firstLine="560" w:firstLineChars="200"/>
        <w:jc w:val="left"/>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3. 甲方、乙方商定的其他必要文件。</w:t>
      </w:r>
    </w:p>
    <w:p>
      <w:pPr>
        <w:spacing w:line="6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二、合同范围和条件</w:t>
      </w:r>
    </w:p>
    <w:p>
      <w:pPr>
        <w:spacing w:line="60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本合同的范围和条件应与上述合同文件的规定相一致，本合同附件具有与合同同等的法律效力。</w:t>
      </w:r>
    </w:p>
    <w:p>
      <w:pPr>
        <w:spacing w:line="6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三、采购内容</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（一）拆除、更换电视墙；更换高清解码器。</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（二）安防综合管理平台服务器的更换、安装及调试。</w:t>
      </w:r>
    </w:p>
    <w:p>
      <w:pPr>
        <w:spacing w:line="600" w:lineRule="exact"/>
        <w:ind w:firstLine="560" w:firstLineChars="200"/>
        <w:rPr>
          <w:rFonts w:ascii="方正仿宋_GBK" w:hAnsi="方正仿宋_GBK" w:eastAsia="方正仿宋_GBK" w:cs="方正仿宋_GBK"/>
          <w:spacing w:val="-10"/>
          <w:sz w:val="28"/>
          <w:szCs w:val="28"/>
        </w:rPr>
      </w:pPr>
      <w:r>
        <w:rPr>
          <w:rFonts w:hint="eastAsia" w:ascii="方正仿宋_GBK" w:hAnsi="方正仿宋_GBK" w:eastAsia="方正仿宋_GBK" w:cs="方正仿宋_GBK"/>
          <w:sz w:val="28"/>
          <w:szCs w:val="28"/>
        </w:rPr>
        <w:t>（三）</w:t>
      </w:r>
      <w:r>
        <w:rPr>
          <w:rFonts w:hint="eastAsia" w:ascii="方正仿宋_GBK" w:hAnsi="方正仿宋_GBK" w:eastAsia="方正仿宋_GBK" w:cs="方正仿宋_GBK"/>
          <w:spacing w:val="-10"/>
          <w:sz w:val="28"/>
          <w:szCs w:val="28"/>
        </w:rPr>
        <w:t>更换5台PC机，其中操作台席位上4台、业务规范流程和差错查询1台。</w:t>
      </w:r>
    </w:p>
    <w:p>
      <w:pPr>
        <w:pStyle w:val="19"/>
        <w:spacing w:line="600" w:lineRule="exact"/>
        <w:ind w:left="560" w:firstLine="0" w:firstLineChars="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（四）换分行大楼</w:t>
      </w:r>
      <w:r>
        <w:rPr>
          <w:rFonts w:hint="eastAsia" w:ascii="方正仿宋_GBK" w:hAnsi="方正仿宋_GBK" w:eastAsia="方正仿宋_GBK" w:cs="方正仿宋_GBK"/>
          <w:sz w:val="28"/>
          <w:szCs w:val="28"/>
          <w:lang w:val="en-US" w:eastAsia="zh-CN"/>
        </w:rPr>
        <w:t>11</w:t>
      </w:r>
      <w:r>
        <w:rPr>
          <w:rFonts w:hint="eastAsia" w:ascii="方正仿宋_GBK" w:hAnsi="方正仿宋_GBK" w:eastAsia="方正仿宋_GBK" w:cs="方正仿宋_GBK"/>
          <w:sz w:val="28"/>
          <w:szCs w:val="28"/>
        </w:rPr>
        <w:t>道门禁系统为人脸识别一体机。</w:t>
      </w:r>
      <w:r>
        <w:rPr>
          <w:rFonts w:hint="eastAsia" w:ascii="方正仿宋_GBK" w:hAnsi="宋体" w:eastAsia="方正仿宋_GBK"/>
          <w:sz w:val="28"/>
          <w:szCs w:val="28"/>
        </w:rPr>
        <w:t>（按实际工程量计算）</w:t>
      </w:r>
    </w:p>
    <w:p>
      <w:pPr>
        <w:spacing w:line="600" w:lineRule="exact"/>
        <w:ind w:firstLine="560" w:firstLineChars="200"/>
        <w:rPr>
          <w:rFonts w:ascii="方正仿宋_GBK" w:hAnsi="宋体" w:eastAsia="方正仿宋_GBK"/>
          <w:sz w:val="28"/>
          <w:szCs w:val="28"/>
        </w:rPr>
      </w:pPr>
      <w:r>
        <w:rPr>
          <w:rFonts w:hint="eastAsia" w:ascii="方正仿宋_GBK" w:hAnsi="方正仿宋_GBK" w:eastAsia="方正仿宋_GBK" w:cs="方正仿宋_GBK"/>
          <w:sz w:val="28"/>
          <w:szCs w:val="28"/>
        </w:rPr>
        <w:t>（五）增加13个网点消防联动模块并调试上传到监控中心。</w:t>
      </w:r>
      <w:r>
        <w:rPr>
          <w:rFonts w:hint="eastAsia" w:ascii="方正仿宋_GBK" w:hAnsi="宋体" w:eastAsia="方正仿宋_GBK"/>
          <w:sz w:val="28"/>
          <w:szCs w:val="28"/>
        </w:rPr>
        <w:t>（按实际工程量计算）</w:t>
      </w:r>
    </w:p>
    <w:p>
      <w:pPr>
        <w:pStyle w:val="19"/>
        <w:spacing w:line="600" w:lineRule="exact"/>
        <w:ind w:left="560" w:firstLine="0" w:firstLineChars="0"/>
      </w:pPr>
      <w:r>
        <w:rPr>
          <w:rFonts w:hint="eastAsia" w:ascii="方正仿宋_GBK" w:hAnsi="宋体" w:eastAsia="方正仿宋_GBK"/>
          <w:sz w:val="28"/>
          <w:szCs w:val="28"/>
        </w:rPr>
        <w:t>（六）具体采购内容及技术参数详见</w:t>
      </w:r>
      <w:r>
        <w:rPr>
          <w:rFonts w:hint="eastAsia" w:ascii="方正仿宋_GBK" w:hAnsi="方正仿宋_GBK" w:eastAsia="方正仿宋_GBK" w:cs="方正仿宋_GBK"/>
          <w:sz w:val="28"/>
          <w:szCs w:val="28"/>
        </w:rPr>
        <w:t>附件《设备清单及金额明细表》</w:t>
      </w:r>
      <w:r>
        <w:rPr>
          <w:rFonts w:hint="eastAsia" w:ascii="方正仿宋_GBK" w:hAnsi="宋体" w:eastAsia="方正仿宋_GBK"/>
          <w:sz w:val="28"/>
          <w:szCs w:val="28"/>
        </w:rPr>
        <w:t>。</w:t>
      </w:r>
    </w:p>
    <w:p>
      <w:pPr>
        <w:spacing w:line="6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四、质量及技术要求</w:t>
      </w:r>
    </w:p>
    <w:p>
      <w:pPr>
        <w:spacing w:line="600" w:lineRule="exact"/>
        <w:ind w:firstLine="560" w:firstLineChars="20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（一）改造内容</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次综合管理平台软硬件改造项目的建设内容涵盖成都分行监控中心、分行大楼、各营业网点等。其中监控中心改造内容包括电视墙的拆除与更换、高清解码器的更换、PC机更换、安防综合管理平台服务器的安装更换与调试；前端设备改造内容包括人脸识别一体机的更换、消防联动模块的安装调试等，所有前端设备通过专用网络传输至监控中心进行统一管理。</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本项目的软硬件设备建议从以下几个品牌中选取：海康、华为、大华、讯美。</w:t>
      </w:r>
    </w:p>
    <w:p>
      <w:pPr>
        <w:spacing w:line="600" w:lineRule="exact"/>
        <w:ind w:firstLine="560" w:firstLineChars="20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（二）应实现的功能</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改造后的综合安防管理平台是一套“集成化”、“智能化”的平台，应符合《银行安全防范要求》（GA38-2021）第5.17条“安全防范管理平台、联网监控中心、接处警中心应符合GB 50348、GB/T 16676、GB/T 28181、GA 1383的相关规定”的要求。新平台以电子地图为载体，融合各系统能力实现丰富的智能应用。通过接入视频监控、入侵报警、语音对讲、出入口控制、消安一体化等基本系统前端设备，获取边缘节点数据，实现安防信息化的集成与联动。</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平台设计应基于“统一软件技术架构”的理念，采用业务组件化技术，满足平台在业务上的弹性扩展，适用于金融行业通用综合安防业务，能对各系统资源进行整合和集中管理，实现统一部署、统一配置、统一管理和统一调度。同时应符合《银行安全防范要求》（GA38-2021）第3.21条“对安全防范系统的各子系统及相关信息系统进行集成，实现实体防护系统、电子防护系统和人力防范资源的有机联动……”的要求。因此，</w:t>
      </w:r>
      <w:r>
        <w:rPr>
          <w:rFonts w:hint="eastAsia" w:ascii="方正仿宋_GBK" w:hAnsi="方正仿宋_GBK" w:eastAsia="方正仿宋_GBK" w:cs="方正仿宋_GBK"/>
          <w:b/>
          <w:bCs/>
          <w:sz w:val="28"/>
          <w:szCs w:val="28"/>
          <w:u w:val="single"/>
        </w:rPr>
        <w:t>需预留安保信息化管理（包括资产管理、检查考核、组织信息管理和合同管理）、智能巡检系统（巡检管理及任务统计）、电子地图、培训考试、行为分析、访客系统、应急管理、交接班、款箱交接、业务库以及防爆安全检查等系统扩展接口</w:t>
      </w:r>
      <w:r>
        <w:rPr>
          <w:rFonts w:hint="eastAsia" w:ascii="方正仿宋_GBK" w:hAnsi="方正仿宋_GBK" w:eastAsia="方正仿宋_GBK" w:cs="方正仿宋_GBK"/>
          <w:sz w:val="28"/>
          <w:szCs w:val="28"/>
        </w:rPr>
        <w:t>。</w:t>
      </w:r>
    </w:p>
    <w:p>
      <w:pPr>
        <w:numPr>
          <w:ilvl w:val="0"/>
          <w:numId w:val="4"/>
        </w:numPr>
        <w:spacing w:line="600" w:lineRule="exact"/>
        <w:ind w:firstLine="560" w:firstLineChars="20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技术参数要求：</w:t>
      </w:r>
    </w:p>
    <w:p>
      <w:pPr>
        <w:spacing w:line="600" w:lineRule="exact"/>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详见附件《设备清单及金额明细表》。</w:t>
      </w:r>
    </w:p>
    <w:p>
      <w:pPr>
        <w:spacing w:before="120" w:beforeLines="50" w:line="6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五、合同金额</w:t>
      </w:r>
    </w:p>
    <w:p>
      <w:pPr>
        <w:tabs>
          <w:tab w:val="left" w:pos="6300"/>
        </w:tabs>
        <w:spacing w:line="600" w:lineRule="exact"/>
        <w:ind w:firstLine="56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合同金额为人民币</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），以实际结算为准，总金额不超过合同约定金额。</w:t>
      </w:r>
    </w:p>
    <w:p>
      <w:pPr>
        <w:pStyle w:val="19"/>
        <w:spacing w:line="600" w:lineRule="exact"/>
        <w:ind w:firstLine="0" w:firstLineChars="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上述合同金额为完成项目所涉及的一切费用，含检验、运输、拆除安装、调试、测试、软件开发升级、检查验收、售后服务、市场物价上涨因素考虑以及税金（含增值税专用发票税金）。</w:t>
      </w:r>
      <w:r>
        <w:rPr>
          <w:rFonts w:hint="eastAsia" w:ascii="方正仿宋_GBK" w:hAnsi="宋体" w:eastAsia="方正仿宋_GBK"/>
          <w:b/>
          <w:bCs/>
          <w:color w:val="000000" w:themeColor="text1"/>
          <w:sz w:val="28"/>
          <w:szCs w:val="28"/>
          <w14:textFill>
            <w14:solidFill>
              <w14:schemeClr w14:val="tx1"/>
            </w14:solidFill>
          </w14:textFill>
        </w:rPr>
        <w:t>中标供应商在质保期内须确保我行各网点现有的前端设备无条件无缝免费接入。另外本次报价中应充分考虑质保期内，在实际工作量（以结算单为准）的基础上免费扩容的需求，其中视频路数500路以内、报警路数500路以内、门禁路数100路以内、IP对讲100路以内均应免费扩容。超过以上路数采购人将按内部流程重新采购。</w:t>
      </w:r>
      <w:r>
        <w:rPr>
          <w:rFonts w:hint="eastAsia" w:ascii="方正仿宋_GBK" w:hAnsi="方正仿宋_GBK" w:eastAsia="方正仿宋_GBK" w:cs="方正仿宋_GBK"/>
          <w:sz w:val="28"/>
          <w:szCs w:val="28"/>
        </w:rPr>
        <w:t xml:space="preserve">         </w:t>
      </w:r>
    </w:p>
    <w:p>
      <w:pPr>
        <w:spacing w:line="600" w:lineRule="exact"/>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 xml:space="preserve">    </w:t>
      </w:r>
    </w:p>
    <w:p>
      <w:pPr>
        <w:pStyle w:val="17"/>
        <w:spacing w:line="600" w:lineRule="exact"/>
        <w:ind w:firstLine="420" w:firstLineChars="200"/>
        <w:rPr>
          <w:rFonts w:ascii="仿宋_GB2312" w:hAnsi="宋体" w:eastAsia="仿宋_GB2312"/>
          <w:bCs/>
          <w:sz w:val="28"/>
          <w:szCs w:val="28"/>
        </w:rPr>
      </w:pPr>
      <w:r>
        <w:br w:type="page"/>
      </w:r>
      <w:r>
        <w:rPr>
          <w:rFonts w:hint="eastAsia" w:ascii="方正黑体_GBK" w:hAnsi="方正黑体_GBK" w:eastAsia="方正黑体_GBK" w:cs="方正黑体_GBK"/>
          <w:sz w:val="28"/>
          <w:szCs w:val="28"/>
        </w:rPr>
        <w:t>六、付款条件</w:t>
      </w:r>
      <w:r>
        <w:rPr>
          <w:rFonts w:hint="eastAsia" w:ascii="仿宋_GB2312" w:hAnsi="宋体" w:eastAsia="仿宋_GB2312"/>
          <w:bCs/>
          <w:sz w:val="28"/>
          <w:szCs w:val="28"/>
        </w:rPr>
        <w:t xml:space="preserve">   </w:t>
      </w:r>
    </w:p>
    <w:p>
      <w:pPr>
        <w:spacing w:line="600" w:lineRule="exact"/>
        <w:rPr>
          <w:rFonts w:ascii="仿宋_GB2312" w:hAnsi="宋体" w:eastAsia="仿宋_GB2312"/>
          <w:bCs/>
          <w:sz w:val="28"/>
          <w:szCs w:val="28"/>
        </w:rPr>
      </w:pPr>
      <w:r>
        <w:rPr>
          <w:rFonts w:hint="eastAsia" w:ascii="仿宋_GB2312" w:hAnsi="宋体" w:eastAsia="仿宋_GB2312"/>
          <w:bCs/>
          <w:sz w:val="28"/>
          <w:szCs w:val="28"/>
        </w:rPr>
        <w:t xml:space="preserve">   （一）安装调试完毕后，在乙方提供具有专业资质的第三方检测机构</w:t>
      </w:r>
      <w:r>
        <w:rPr>
          <w:rFonts w:hint="eastAsia" w:ascii="仿宋_GB2312" w:hAnsi="宋体" w:eastAsia="仿宋_GB2312"/>
          <w:b/>
          <w:color w:val="000000" w:themeColor="text1"/>
          <w:sz w:val="28"/>
          <w:szCs w:val="28"/>
          <w14:textFill>
            <w14:solidFill>
              <w14:schemeClr w14:val="tx1"/>
            </w14:solidFill>
          </w14:textFill>
        </w:rPr>
        <w:t>{国家安全防范报警系统产品质量监督检验中心（北京）或国家安全防范报警系统产品质量监督检验中心（上海）}</w:t>
      </w:r>
      <w:r>
        <w:rPr>
          <w:rFonts w:hint="eastAsia" w:ascii="仿宋_GB2312" w:hAnsi="宋体" w:eastAsia="仿宋_GB2312"/>
          <w:bCs/>
          <w:sz w:val="28"/>
          <w:szCs w:val="28"/>
        </w:rPr>
        <w:t>出具的检测报告30日内，甲方根据实际工程量结算支付工程价款。</w:t>
      </w:r>
    </w:p>
    <w:p>
      <w:pPr>
        <w:spacing w:line="600" w:lineRule="exact"/>
        <w:jc w:val="left"/>
        <w:rPr>
          <w:rFonts w:ascii="仿宋_GB2312" w:hAnsi="宋体" w:eastAsia="仿宋_GB2312"/>
          <w:bCs/>
          <w:sz w:val="28"/>
          <w:szCs w:val="28"/>
        </w:rPr>
      </w:pPr>
      <w:r>
        <w:rPr>
          <w:rFonts w:hint="eastAsia" w:ascii="仿宋_GB2312" w:hAnsi="宋体" w:eastAsia="仿宋_GB2312"/>
          <w:bCs/>
          <w:sz w:val="28"/>
          <w:szCs w:val="28"/>
        </w:rPr>
        <w:t xml:space="preserve">   （二）关于开具增值税专用发票的约定</w:t>
      </w:r>
    </w:p>
    <w:p>
      <w:pPr>
        <w:spacing w:line="600" w:lineRule="exact"/>
        <w:rPr>
          <w:rFonts w:ascii="仿宋_GB2312" w:hAnsi="宋体" w:eastAsia="仿宋_GB2312"/>
          <w:bCs/>
          <w:sz w:val="28"/>
          <w:szCs w:val="28"/>
        </w:rPr>
      </w:pPr>
      <w:r>
        <w:rPr>
          <w:rFonts w:hint="eastAsia" w:ascii="仿宋_GB2312" w:hAnsi="宋体" w:eastAsia="仿宋_GB2312"/>
          <w:bCs/>
          <w:sz w:val="28"/>
          <w:szCs w:val="28"/>
        </w:rPr>
        <w:t xml:space="preserve">    1. 乙方因本合同项下服务/货物而须支付的其他各项税费（包括但不限于增值税、城市维护建设税、教育费附加及地方教育费附加、印花税、及企业所得税等其他各项税费）应由乙方自行承担，不再向甲方收取。乙方保证各项标的对应的税率符合国家规定，且与最终付款时提供的发票税率一致。</w:t>
      </w:r>
    </w:p>
    <w:p>
      <w:pPr>
        <w:spacing w:line="600" w:lineRule="exact"/>
        <w:rPr>
          <w:rFonts w:ascii="仿宋_GB2312" w:hAnsi="宋体" w:eastAsia="仿宋_GB2312"/>
          <w:bCs/>
          <w:sz w:val="28"/>
          <w:szCs w:val="28"/>
        </w:rPr>
      </w:pPr>
      <w:r>
        <w:rPr>
          <w:rFonts w:hint="eastAsia" w:ascii="仿宋_GB2312" w:hAnsi="宋体" w:eastAsia="仿宋_GB2312"/>
          <w:bCs/>
          <w:sz w:val="28"/>
          <w:szCs w:val="28"/>
        </w:rPr>
        <w:t xml:space="preserve">    2. 除特别说明外，增值税纳税人开具的发票指增值税专用发票，国家规定不能开具增值税专用发票的增值税纳税人，应向税务机关申请代开增值税专用发票。乙方应保证发票真实、合法，各项信息全面、完整。</w:t>
      </w:r>
    </w:p>
    <w:p>
      <w:pPr>
        <w:spacing w:line="600" w:lineRule="exact"/>
        <w:rPr>
          <w:rFonts w:ascii="仿宋_GB2312" w:hAnsi="宋体" w:eastAsia="仿宋_GB2312"/>
          <w:bCs/>
          <w:sz w:val="28"/>
          <w:szCs w:val="28"/>
        </w:rPr>
      </w:pPr>
      <w:r>
        <w:rPr>
          <w:rFonts w:hint="eastAsia" w:ascii="仿宋_GB2312" w:hAnsi="宋体" w:eastAsia="仿宋_GB2312"/>
          <w:bCs/>
          <w:sz w:val="28"/>
          <w:szCs w:val="28"/>
        </w:rPr>
        <w:t xml:space="preserve">    3. 乙方开具的增值税专用发票符合以下情形之一的，甲方有权延迟支付应付款项，并要求乙方重新提供，且甲方不承担任何违约责任，乙方各项义务仍按合同约定履行：</w:t>
      </w:r>
    </w:p>
    <w:p>
      <w:pPr>
        <w:spacing w:line="600" w:lineRule="exact"/>
        <w:rPr>
          <w:rFonts w:ascii="仿宋_GB2312" w:hAnsi="宋体" w:eastAsia="仿宋_GB2312"/>
          <w:bCs/>
          <w:sz w:val="28"/>
          <w:szCs w:val="28"/>
        </w:rPr>
      </w:pPr>
      <w:r>
        <w:rPr>
          <w:rFonts w:hint="eastAsia" w:ascii="仿宋_GB2312" w:hAnsi="宋体" w:eastAsia="仿宋_GB2312"/>
          <w:bCs/>
          <w:sz w:val="28"/>
          <w:szCs w:val="28"/>
        </w:rPr>
        <w:t xml:space="preserve">    1) 提供作废、无效发票或因违反国家法律法规开具、提供发票的；</w:t>
      </w:r>
    </w:p>
    <w:p>
      <w:pPr>
        <w:spacing w:line="600" w:lineRule="exact"/>
        <w:rPr>
          <w:rFonts w:ascii="仿宋_GB2312" w:hAnsi="宋体" w:eastAsia="仿宋_GB2312"/>
          <w:bCs/>
          <w:sz w:val="28"/>
          <w:szCs w:val="28"/>
        </w:rPr>
      </w:pPr>
      <w:r>
        <w:rPr>
          <w:rFonts w:hint="eastAsia" w:ascii="仿宋_GB2312" w:hAnsi="宋体" w:eastAsia="仿宋_GB2312"/>
          <w:bCs/>
          <w:sz w:val="28"/>
          <w:szCs w:val="28"/>
        </w:rPr>
        <w:t xml:space="preserve">    2) 开具发票种类错误，开具发票税率与合同约定不符；</w:t>
      </w:r>
    </w:p>
    <w:p>
      <w:pPr>
        <w:spacing w:line="600" w:lineRule="exact"/>
        <w:rPr>
          <w:rFonts w:ascii="仿宋_GB2312" w:hAnsi="宋体" w:eastAsia="仿宋_GB2312"/>
          <w:bCs/>
          <w:sz w:val="28"/>
          <w:szCs w:val="28"/>
        </w:rPr>
      </w:pPr>
      <w:r>
        <w:rPr>
          <w:rFonts w:hint="eastAsia" w:ascii="仿宋_GB2312" w:hAnsi="宋体" w:eastAsia="仿宋_GB2312"/>
          <w:bCs/>
          <w:sz w:val="28"/>
          <w:szCs w:val="28"/>
        </w:rPr>
        <w:t xml:space="preserve">    3) 发票上的信息错误的；</w:t>
      </w:r>
    </w:p>
    <w:p>
      <w:pPr>
        <w:spacing w:line="600" w:lineRule="exact"/>
        <w:rPr>
          <w:rFonts w:ascii="仿宋_GB2312" w:hAnsi="宋体" w:eastAsia="仿宋_GB2312"/>
          <w:bCs/>
          <w:sz w:val="28"/>
          <w:szCs w:val="28"/>
        </w:rPr>
      </w:pPr>
      <w:r>
        <w:rPr>
          <w:rFonts w:hint="eastAsia" w:ascii="仿宋_GB2312" w:hAnsi="宋体" w:eastAsia="仿宋_GB2312"/>
          <w:bCs/>
          <w:sz w:val="28"/>
          <w:szCs w:val="28"/>
        </w:rPr>
        <w:t xml:space="preserve">    4) 因乙方延迟送达、开具错误等原因造成发票认证失败等其他情况；</w:t>
      </w:r>
    </w:p>
    <w:p>
      <w:pPr>
        <w:spacing w:line="600" w:lineRule="exact"/>
        <w:ind w:left="991" w:hanging="991" w:hangingChars="354"/>
        <w:rPr>
          <w:rFonts w:ascii="仿宋_GB2312" w:hAnsi="宋体" w:eastAsia="仿宋_GB2312"/>
          <w:bCs/>
          <w:sz w:val="28"/>
          <w:szCs w:val="28"/>
        </w:rPr>
      </w:pPr>
      <w:r>
        <w:rPr>
          <w:rFonts w:hint="eastAsia" w:ascii="仿宋_GB2312" w:hAnsi="宋体" w:eastAsia="仿宋_GB2312"/>
          <w:bCs/>
          <w:sz w:val="28"/>
          <w:szCs w:val="28"/>
        </w:rPr>
        <w:t xml:space="preserve">    5) 如乙方拒绝重新提供或提供的发票仍不符合法律法规和监管规定的要求，甲方有权解除本合同，并要求乙方承担由此对甲方造成的全部损失。 </w:t>
      </w:r>
    </w:p>
    <w:p>
      <w:pPr>
        <w:spacing w:line="600" w:lineRule="exact"/>
        <w:rPr>
          <w:rFonts w:ascii="仿宋_GB2312" w:hAnsi="宋体" w:eastAsia="仿宋_GB2312"/>
          <w:bCs/>
          <w:sz w:val="28"/>
          <w:szCs w:val="28"/>
        </w:rPr>
      </w:pPr>
      <w:r>
        <w:rPr>
          <w:rFonts w:hint="eastAsia" w:ascii="仿宋_GB2312" w:hAnsi="宋体" w:eastAsia="仿宋_GB2312"/>
          <w:bCs/>
          <w:sz w:val="28"/>
          <w:szCs w:val="28"/>
        </w:rPr>
        <w:t xml:space="preserve">    4. 如果乙方向甲方开具虚假发票，甲方有权拒付合同款项、要求赔偿损失、终止本合同，并将乙方列入甲方采购禁入名单。</w:t>
      </w:r>
    </w:p>
    <w:p>
      <w:pPr>
        <w:spacing w:line="600" w:lineRule="exact"/>
        <w:rPr>
          <w:rFonts w:ascii="仿宋_GB2312" w:hAnsi="宋体" w:eastAsia="仿宋_GB2312"/>
          <w:bCs/>
          <w:sz w:val="28"/>
          <w:szCs w:val="28"/>
        </w:rPr>
      </w:pPr>
      <w:r>
        <w:rPr>
          <w:rFonts w:hint="eastAsia" w:ascii="仿宋_GB2312" w:hAnsi="宋体" w:eastAsia="仿宋_GB2312"/>
          <w:bCs/>
          <w:sz w:val="28"/>
          <w:szCs w:val="28"/>
        </w:rPr>
        <w:t xml:space="preserve">    5. 因乙方未按合同约定提供增值税专用发票，而造成甲方无法抵扣增值税税额，甲方有权从应支付的合同款项中直接扣除甲方可抵扣税额。</w:t>
      </w:r>
    </w:p>
    <w:p>
      <w:pPr>
        <w:spacing w:line="600" w:lineRule="exact"/>
      </w:pPr>
      <w:r>
        <w:rPr>
          <w:rFonts w:hint="eastAsia" w:ascii="仿宋_GB2312" w:hAnsi="宋体" w:eastAsia="仿宋_GB2312"/>
          <w:bCs/>
          <w:sz w:val="28"/>
          <w:szCs w:val="28"/>
        </w:rPr>
        <w:t xml:space="preserve">    6. 因乙方发票税率与合同约定税率不一致导致税额不一致，并有损甲方权益的，甲方有权将税额差额从应支付的合同款项中予以直接扣除。</w:t>
      </w:r>
    </w:p>
    <w:p>
      <w:pPr>
        <w:spacing w:line="600" w:lineRule="exact"/>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 xml:space="preserve">    七、项目完成时间</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从合同签订生效之日60个日历天。</w:t>
      </w:r>
    </w:p>
    <w:p>
      <w:pPr>
        <w:spacing w:line="6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八、违约责任</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（一）由于乙方原因造成项目质量不合格，均由乙方负责返工，并承担一切直接经济损失。</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（二）乙方所供应的材料、设备必须是专业厂家生产，经行业管理部门认可的合格产品，否则造成的不合格及损失均由乙方自行负责。</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乙方不能在约定的时间内完成工程，则每延迟一天，处以乙方2000元/天的违约金，并没收履约保证金10%；如延迟时间超过10天，则没收全部的履约保证金。如逾期超过30天以上，甲方有权终止合同，并根据合同约定保留方式追究乙方责任。</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（四）若乙方出现以次充好或不能在约定的时间内完成安装售后服务的情况，甲方有权中止采购合同，并保留采用法律手段追偿的权利。</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（五）在合同履行期间，如乙方擅自中止、转让本合同，甲方有权解除合同并不予支付合同费用，且可以主张乙方的违约责任。</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（六）乙方没有按约定时间对甲方的系统进行功能巡检及损坏设备跟换，甲方有权解除合同并不予支付服务费合同费用，且可以主张乙方的违约责任。</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七）因乙方工程质量问题或不能按标准售后服务，导致系统、设备不能正常工作或未到保存期限的录像资料丢失，在此期间影响到使用单位正常营业、或发生案件、纠纷等形成损失的，甲方有权索赔和追究法律责任。因乙方及乙方人员违反甲方安全管理规定、保密管理规定，导致甲方发生案件、事故等，甲方有权对乙方进行民事索赔和追究法律责任。</w:t>
      </w:r>
    </w:p>
    <w:p>
      <w:pPr>
        <w:spacing w:line="600" w:lineRule="exact"/>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 xml:space="preserve">    九、乙方的权利和义务</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（一）建立对法律法规及甲方内部管理制度的遵从要求，以及贯彻监管政策的通报贯彻机制及内控措施。</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（二）服务连续性管理目标满足甲方业务连续性目标要求。</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（三）配合甲方内、外部审计机构检查，及配合银行业监管机构检查的责任。</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（四）每季度向甲方提交巡检报告，包括常规报告（服务季度报告）和突发事件的报告。</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（五）严格按照消费者权益保护相关法律法规、监管规定的要求执行，有保护客户信息的职责和保密义务。</w:t>
      </w:r>
    </w:p>
    <w:p>
      <w:pPr>
        <w:spacing w:line="6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十、乙方承诺：</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（一）定期通报外包活动的有关事项；</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（二）及时通报外包活动的突发性事件；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（三）配合甲方接受银行业监督管理机构的检查；</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（四）不得以甲方的名义开展活动；</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（五）甲方认为应当承诺的其他事项。</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（六）保障客户信息的安全性，当客户信息不安全或客户权利受到影响时，甲方有权随时终止外包合同；不得将外包活动的主要业务分包；不得将外包活动转包或变相转包。</w:t>
      </w:r>
    </w:p>
    <w:p>
      <w:pPr>
        <w:spacing w:line="6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十一、廉洁条款</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甲乙双方人员要严格遵守国家及重庆银行关于设备、物资、服务采购等有关法律、法规以及廉政建设的各项规定。</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（一）在集中采购和合同履行过程中、以及合同履行完毕后，乙方均不向甲方工作人员及其配偶、近亲属赠送礼金、有价证券（卡）、贵重物品，给予回扣，或提出有关暗示； </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（二）在集中采购和合同履行过程中、以及合同履行完毕后，乙方均不与甲方工作人员私下接触或交往，不为其报销各种费用和借用通讯设备、手提电脑、交通工具等；</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（三）在集中采购和合同履行过程中、以及合同履行完毕后，乙方均不邀请甲方工作人员参与高消费餐饮、娱乐、旅游或以钱物为赌注的棋牌活动及涉“黄”、涉毒等活动；</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（四）在集中采购和合同履行过程中、以及合同履行完毕后，乙方均不邀请甲方工作人员参与乙方的投资参股、项目实施及其他经营活动；</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（五）在集中采购和合同履行过程中、以及合同履行完毕后，乙方均不以低于市场价格为甲方工作人员装修住房或购买物品等；</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对甲方工作人员在集中采购和合同履行过程中、以及合同履行完毕后主动向乙方为本人或亲属索取经济利益的，乙方承诺立即重庆银行成都分行反映或举报，举报或反映如系恶意虚假反映，乙方愿承担相应的法律责任。</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七）若乙方违反以上条款或隐瞒有关情况，甲方有权将乙方列入集中采购禁入名单，并且不得参与重庆银行成都分行的各类采购活动；有权无条件取消乙方供应商资格、有权无条件终止与乙方拟签订或执行中的合同，并不再退还履约保证金及不再支付质保金，乙方愿承担由此导致的一切损失和赔偿责任。</w:t>
      </w:r>
    </w:p>
    <w:p>
      <w:pPr>
        <w:spacing w:line="6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十二、售后服务要求</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（一）乙方应备足工程项目维保所需材料设备配件，保证系统正常运行。</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（二）售后服务响应：</w:t>
      </w:r>
    </w:p>
    <w:p>
      <w:pPr>
        <w:pStyle w:val="7"/>
        <w:spacing w:line="600" w:lineRule="exact"/>
        <w:ind w:firstLine="594"/>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 乙方为甲方及安装单位提供7*24（每周7天，每天24小时）电话支持服务。</w:t>
      </w:r>
    </w:p>
    <w:p>
      <w:pPr>
        <w:spacing w:line="600" w:lineRule="exact"/>
        <w:ind w:firstLine="560" w:firstLineChars="200"/>
        <w:rPr>
          <w:rFonts w:ascii="方正仿宋_GBK" w:hAnsi="仿宋" w:eastAsia="方正仿宋_GBK"/>
          <w:sz w:val="32"/>
          <w:szCs w:val="32"/>
        </w:rPr>
      </w:pPr>
      <w:r>
        <w:rPr>
          <w:rFonts w:hint="eastAsia" w:ascii="方正仿宋_GBK" w:hAnsi="方正仿宋_GBK" w:eastAsia="方正仿宋_GBK" w:cs="方正仿宋_GBK"/>
          <w:sz w:val="28"/>
          <w:szCs w:val="28"/>
        </w:rPr>
        <w:t>2. 甲方系统出现故障，乙方接到通知后，应立即赶到现场处理，到场时间不得超过 2 小时</w:t>
      </w:r>
      <w:r>
        <w:rPr>
          <w:rFonts w:hint="eastAsia" w:ascii="方正仿宋_GBK" w:hAnsi="仿宋" w:eastAsia="方正仿宋_GBK"/>
          <w:sz w:val="32"/>
          <w:szCs w:val="32"/>
        </w:rPr>
        <w:t>。</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（三）乙方在设备巡检、维修过程中，应注意以下事项:</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 若设备故障在检修后仍无法排除，乙方应在24小时内提供不低于故障产品规格、档次的备用产品供甲方使用，直至故障产品修复。</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 乙方因设备维修、更换等需取走设备或部件时，应征得甲方安全保卫部、使用单位同意并出具凭据。取走的设备或部件，从取走到安装复原时间一般不得超过7天，特殊情况下经甲方同意最迟不得超过10天。</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 乙方维护人员进入现场巡检、维修时，应提前通知甲方安全保卫部，经允许并登记后方可进入现场。</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 乙方在对故障设备进行维修时，应设立故障报修、处理记录单，注明接到报修时间、故障诊断、修复程度、更换部件等，故障处理结束必须有甲方指定人员签名确认。</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 甲方负责向乙方提交有权报修的人员清单。</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（四）乙方在工程项目竣工初验后，提供2周免费的驻场式服务，服务内容包括系统培训、信息录入、支持维护等。</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经甲方认可后项目进入为期三个月的试运行阶段。试运行正常，且经甲方综合验收合格后投入正式运行。在质保期期内，中标人须提供不少于每季度一次的功能性巡检，并出具巡检报告。乙方巡检人员必须持证上岗，乙方应在甲方值守人员的陪同下进行巡检工作。设立维护巡检登记卡，注明巡检项目、时间，每次巡检必须有甲方人员签名确认，以落实双向监督。</w:t>
      </w:r>
    </w:p>
    <w:p>
      <w:pPr>
        <w:spacing w:line="6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十三、质保期及履约保证金</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（一）工程免费质保期和工程材料免费质保期均为自验收合格之日起5年。免费质保期内，中标单位应保证系统设备正常运行(人为破坏设备除外)。</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（二）履约保证金按中标总报价的3%收取，待产品质保期满后退还。</w:t>
      </w:r>
    </w:p>
    <w:p>
      <w:pPr>
        <w:spacing w:line="6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十四、合同生效及其它</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本合同自双方签字盖章，并在收到乙方提交的履约保证金（如果有）后生效。本合同一式伍份，甲方执三份，乙方执二份，具有同等法律效力。</w:t>
      </w:r>
    </w:p>
    <w:p>
      <w:pPr>
        <w:spacing w:line="600" w:lineRule="exact"/>
        <w:ind w:firstLine="560" w:firstLineChars="200"/>
        <w:rPr>
          <w:rFonts w:ascii="方正仿宋_GBK" w:hAnsi="方正仿宋_GBK" w:eastAsia="方正仿宋_GBK" w:cs="方正仿宋_GBK"/>
          <w:bCs/>
          <w:sz w:val="28"/>
          <w:szCs w:val="28"/>
        </w:rPr>
      </w:pPr>
    </w:p>
    <w:p>
      <w:pPr>
        <w:pStyle w:val="4"/>
        <w:ind w:firstLine="560"/>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附件：设备清单及金额明细表</w:t>
      </w:r>
    </w:p>
    <w:p>
      <w:pPr>
        <w:pStyle w:val="4"/>
        <w:ind w:firstLine="560"/>
        <w:rPr>
          <w:rFonts w:ascii="方正仿宋_GBK" w:hAnsi="方正仿宋_GBK" w:eastAsia="方正仿宋_GBK" w:cs="方正仿宋_GBK"/>
          <w:b w:val="0"/>
          <w:sz w:val="28"/>
          <w:szCs w:val="28"/>
        </w:rPr>
      </w:pPr>
      <w:r>
        <w:rPr>
          <w:rFonts w:hint="eastAsia" w:ascii="方正仿宋_GBK" w:hAnsi="方正仿宋_GBK" w:eastAsia="方正仿宋_GBK" w:cs="方正仿宋_GBK"/>
          <w:b w:val="0"/>
          <w:sz w:val="28"/>
          <w:szCs w:val="28"/>
        </w:rPr>
        <w:t>甲方（单位盖章）：</w:t>
      </w:r>
    </w:p>
    <w:p>
      <w:pPr>
        <w:spacing w:line="60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 xml:space="preserve">        年     月    日</w:t>
      </w:r>
    </w:p>
    <w:p>
      <w:pPr>
        <w:spacing w:line="600" w:lineRule="exact"/>
        <w:ind w:firstLine="560" w:firstLineChars="200"/>
        <w:rPr>
          <w:rFonts w:ascii="方正仿宋_GBK" w:hAnsi="方正仿宋_GBK" w:eastAsia="方正仿宋_GBK" w:cs="方正仿宋_GBK"/>
          <w:bCs/>
          <w:sz w:val="28"/>
          <w:szCs w:val="28"/>
        </w:rPr>
      </w:pPr>
    </w:p>
    <w:p>
      <w:pPr>
        <w:spacing w:line="600" w:lineRule="exact"/>
        <w:ind w:firstLine="560" w:firstLineChars="200"/>
        <w:rPr>
          <w:rFonts w:ascii="方正仿宋_GBK" w:hAnsi="方正仿宋_GBK" w:eastAsia="方正仿宋_GBK" w:cs="方正仿宋_GBK"/>
          <w:bCs/>
          <w:sz w:val="28"/>
          <w:szCs w:val="28"/>
        </w:rPr>
      </w:pPr>
    </w:p>
    <w:p>
      <w:pPr>
        <w:pStyle w:val="4"/>
      </w:pPr>
    </w:p>
    <w:p>
      <w:pPr>
        <w:spacing w:line="60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乙方（单位盖章）：</w:t>
      </w:r>
    </w:p>
    <w:p>
      <w:pPr>
        <w:spacing w:line="60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地址：</w:t>
      </w:r>
    </w:p>
    <w:p>
      <w:pPr>
        <w:spacing w:line="60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 xml:space="preserve">        年     月    日</w:t>
      </w:r>
    </w:p>
    <w:p/>
    <w:p>
      <w:pPr>
        <w:pStyle w:val="3"/>
        <w:spacing w:before="0" w:after="0" w:line="400" w:lineRule="exact"/>
        <w:ind w:firstLine="723" w:firstLineChars="200"/>
        <w:jc w:val="center"/>
        <w:rPr>
          <w:rFonts w:ascii="方正仿宋_GBK" w:eastAsia="方正仿宋_GBK"/>
          <w:sz w:val="36"/>
          <w:szCs w:val="36"/>
        </w:rPr>
      </w:pPr>
    </w:p>
    <w:p>
      <w:pPr>
        <w:jc w:val="cente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设备清单及金额明细表</w:t>
      </w:r>
    </w:p>
    <w:tbl>
      <w:tblPr>
        <w:tblStyle w:val="15"/>
        <w:tblpPr w:leftFromText="180" w:rightFromText="180" w:vertAnchor="text" w:horzAnchor="page" w:tblpXSpec="center" w:tblpY="365"/>
        <w:tblOverlap w:val="never"/>
        <w:tblW w:w="11384" w:type="dxa"/>
        <w:tblInd w:w="0" w:type="dxa"/>
        <w:tblLayout w:type="fixed"/>
        <w:tblCellMar>
          <w:top w:w="15" w:type="dxa"/>
          <w:left w:w="15" w:type="dxa"/>
          <w:bottom w:w="15" w:type="dxa"/>
          <w:right w:w="15" w:type="dxa"/>
        </w:tblCellMar>
      </w:tblPr>
      <w:tblGrid>
        <w:gridCol w:w="559"/>
        <w:gridCol w:w="749"/>
        <w:gridCol w:w="535"/>
        <w:gridCol w:w="582"/>
        <w:gridCol w:w="4225"/>
        <w:gridCol w:w="559"/>
        <w:gridCol w:w="461"/>
        <w:gridCol w:w="136"/>
        <w:gridCol w:w="431"/>
        <w:gridCol w:w="567"/>
        <w:gridCol w:w="567"/>
        <w:gridCol w:w="709"/>
        <w:gridCol w:w="1304"/>
      </w:tblGrid>
      <w:tr>
        <w:tblPrEx>
          <w:tblLayout w:type="fixed"/>
          <w:tblCellMar>
            <w:top w:w="15" w:type="dxa"/>
            <w:left w:w="15" w:type="dxa"/>
            <w:bottom w:w="15" w:type="dxa"/>
            <w:right w:w="15" w:type="dxa"/>
          </w:tblCellMar>
        </w:tblPrEx>
        <w:trPr>
          <w:trHeight w:val="407" w:hRule="atLeast"/>
        </w:trPr>
        <w:tc>
          <w:tcPr>
            <w:tcW w:w="55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widowControl/>
              <w:snapToGrid w:val="0"/>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序号</w:t>
            </w:r>
          </w:p>
        </w:tc>
        <w:tc>
          <w:tcPr>
            <w:tcW w:w="74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widowControl/>
              <w:snapToGrid w:val="0"/>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名称</w:t>
            </w:r>
          </w:p>
        </w:tc>
        <w:tc>
          <w:tcPr>
            <w:tcW w:w="53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widowControl/>
              <w:snapToGrid w:val="0"/>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品牌</w:t>
            </w:r>
          </w:p>
        </w:tc>
        <w:tc>
          <w:tcPr>
            <w:tcW w:w="58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widowControl/>
              <w:snapToGrid w:val="0"/>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型号</w:t>
            </w:r>
          </w:p>
        </w:tc>
        <w:tc>
          <w:tcPr>
            <w:tcW w:w="5245" w:type="dxa"/>
            <w:gridSpan w:val="3"/>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widowControl/>
              <w:snapToGrid w:val="0"/>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技术规格</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widowControl/>
              <w:snapToGrid w:val="0"/>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单位</w:t>
            </w:r>
          </w:p>
        </w:tc>
        <w:tc>
          <w:tcPr>
            <w:tcW w:w="56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widowControl/>
              <w:snapToGrid w:val="0"/>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数量</w:t>
            </w:r>
          </w:p>
        </w:tc>
        <w:tc>
          <w:tcPr>
            <w:tcW w:w="56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widowControl/>
              <w:snapToGrid w:val="0"/>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 xml:space="preserve">单价  </w:t>
            </w:r>
          </w:p>
        </w:tc>
        <w:tc>
          <w:tcPr>
            <w:tcW w:w="70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widowControl/>
              <w:snapToGrid w:val="0"/>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合价(元)</w:t>
            </w:r>
          </w:p>
        </w:tc>
        <w:tc>
          <w:tcPr>
            <w:tcW w:w="130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widowControl/>
              <w:snapToGrid w:val="0"/>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备注</w:t>
            </w:r>
          </w:p>
        </w:tc>
      </w:tr>
      <w:tr>
        <w:tblPrEx>
          <w:tblLayout w:type="fixed"/>
          <w:tblCellMar>
            <w:top w:w="15" w:type="dxa"/>
            <w:left w:w="15" w:type="dxa"/>
            <w:bottom w:w="15" w:type="dxa"/>
            <w:right w:w="15" w:type="dxa"/>
          </w:tblCellMar>
        </w:tblPrEx>
        <w:trPr>
          <w:trHeight w:val="3566"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平台服务器</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52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4210R×1/64G DDR4/1.2T 10K  SAS×2(RAID_1)/RAID_2G/1GbE×2/550W(1+1)/2U/3Y</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2U双路标准机架式服务器</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CPU：1颗intel至强系列处理器，核数≥10核，主频≥2.4GHz</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内存：64G DDR4，16根内存插槽，最大支持扩展至2TB内存</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硬盘：2块1.2T 10K 2.5寸 SAS硬盘</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阵列卡：SAS_HBA卡, 支持RAID 0/1/10</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PCIE扩展：最大可支持6个PCIE扩展插槽</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网口：2个千兆电口</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其他接口：1个RJ45管理接口，后置2个USB 3.0接口，前置2个USB2.0接口，1个VGA接口</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 xml:space="preserve">电源：标配550W（1+1）高效铂金CRPS冗余电源 </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机箱规格：87.8mm(高)x 448mm(宽)x729.8mm(深)</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设备重量：约26KG（含导轨）</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台</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2</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1台做中心服务器，1台做热备服务器。利旧接入24块2T硬盘到阵列卡，用于紧急录像、报警抓拍图片的集中存储</w:t>
            </w:r>
          </w:p>
        </w:tc>
      </w:tr>
      <w:tr>
        <w:tblPrEx>
          <w:tblLayout w:type="fixed"/>
          <w:tblCellMar>
            <w:top w:w="15" w:type="dxa"/>
            <w:left w:w="15" w:type="dxa"/>
            <w:bottom w:w="15" w:type="dxa"/>
            <w:right w:w="15" w:type="dxa"/>
          </w:tblCellMar>
        </w:tblPrEx>
        <w:trPr>
          <w:trHeight w:val="3237"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2</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win服务器</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cs="Calibri"/>
                <w:color w:val="000000"/>
                <w:sz w:val="16"/>
                <w:szCs w:val="16"/>
              </w:rPr>
            </w:pPr>
          </w:p>
        </w:tc>
        <w:tc>
          <w:tcPr>
            <w:tcW w:w="5245"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napToGrid w:val="0"/>
              <w:spacing w:before="120" w:beforeLines="50"/>
              <w:jc w:val="left"/>
              <w:textAlignment w:val="top"/>
              <w:rPr>
                <w:rFonts w:cs="Calibri"/>
                <w:color w:val="000000"/>
                <w:sz w:val="16"/>
                <w:szCs w:val="16"/>
              </w:rPr>
            </w:pPr>
            <w:r>
              <w:rPr>
                <w:rFonts w:cs="Calibri"/>
                <w:color w:val="000000"/>
                <w:kern w:val="0"/>
                <w:sz w:val="16"/>
                <w:szCs w:val="16"/>
                <w:lang w:bidi="ar"/>
              </w:rPr>
              <w:t xml:space="preserve">4210×1/32G DDR4/600G 10K  SAS×4(RAID_10)/SAS_HBA/1GbE×2/Win Svr 2016 </w:t>
            </w:r>
            <w:r>
              <w:rPr>
                <w:rFonts w:hint="eastAsia" w:ascii="宋体" w:hAnsi="宋体" w:cs="宋体"/>
                <w:color w:val="000000"/>
                <w:kern w:val="0"/>
                <w:sz w:val="16"/>
                <w:szCs w:val="16"/>
                <w:lang w:bidi="ar"/>
              </w:rPr>
              <w:t>简中标版</w:t>
            </w:r>
            <w:r>
              <w:rPr>
                <w:rFonts w:cs="Calibri"/>
                <w:color w:val="000000"/>
                <w:kern w:val="0"/>
                <w:sz w:val="16"/>
                <w:szCs w:val="16"/>
                <w:lang w:bidi="ar"/>
              </w:rPr>
              <w:t>/550W(1+1)/2U</w:t>
            </w:r>
            <w:r>
              <w:rPr>
                <w:rFonts w:cs="Calibri"/>
                <w:color w:val="000000"/>
                <w:kern w:val="0"/>
                <w:sz w:val="16"/>
                <w:szCs w:val="16"/>
                <w:lang w:bidi="ar"/>
              </w:rPr>
              <w:br w:type="textWrapping"/>
            </w:r>
            <w:r>
              <w:rPr>
                <w:rFonts w:cs="Calibri"/>
                <w:color w:val="000000"/>
                <w:kern w:val="0"/>
                <w:sz w:val="16"/>
                <w:szCs w:val="16"/>
                <w:lang w:bidi="ar"/>
              </w:rPr>
              <w:t>2U</w:t>
            </w:r>
            <w:r>
              <w:rPr>
                <w:rFonts w:hint="eastAsia" w:ascii="宋体" w:hAnsi="宋体" w:cs="宋体"/>
                <w:color w:val="000000"/>
                <w:kern w:val="0"/>
                <w:sz w:val="16"/>
                <w:szCs w:val="16"/>
                <w:lang w:bidi="ar"/>
              </w:rPr>
              <w:t>双路标准机架式服务器</w:t>
            </w:r>
            <w:r>
              <w:rPr>
                <w:rFonts w:hint="eastAsia" w:ascii="宋体" w:hAnsi="宋体" w:cs="宋体"/>
                <w:color w:val="000000"/>
                <w:kern w:val="0"/>
                <w:sz w:val="16"/>
                <w:szCs w:val="16"/>
                <w:lang w:bidi="ar"/>
              </w:rPr>
              <w:br w:type="textWrapping"/>
            </w:r>
            <w:r>
              <w:rPr>
                <w:rFonts w:cs="Calibri"/>
                <w:color w:val="000000"/>
                <w:kern w:val="0"/>
                <w:sz w:val="16"/>
                <w:szCs w:val="16"/>
                <w:lang w:bidi="ar"/>
              </w:rPr>
              <w:t>CPU</w:t>
            </w:r>
            <w:r>
              <w:rPr>
                <w:rFonts w:hint="eastAsia" w:ascii="宋体" w:hAnsi="宋体" w:cs="宋体"/>
                <w:color w:val="000000"/>
                <w:kern w:val="0"/>
                <w:sz w:val="16"/>
                <w:szCs w:val="16"/>
                <w:lang w:bidi="ar"/>
              </w:rPr>
              <w:t>：</w:t>
            </w:r>
            <w:r>
              <w:rPr>
                <w:rFonts w:cs="Calibri"/>
                <w:color w:val="000000"/>
                <w:kern w:val="0"/>
                <w:sz w:val="16"/>
                <w:szCs w:val="16"/>
                <w:lang w:bidi="ar"/>
              </w:rPr>
              <w:t>1</w:t>
            </w:r>
            <w:r>
              <w:rPr>
                <w:rFonts w:hint="eastAsia" w:ascii="宋体" w:hAnsi="宋体" w:cs="宋体"/>
                <w:color w:val="000000"/>
                <w:kern w:val="0"/>
                <w:sz w:val="16"/>
                <w:szCs w:val="16"/>
                <w:lang w:bidi="ar"/>
              </w:rPr>
              <w:t>颗</w:t>
            </w:r>
            <w:r>
              <w:rPr>
                <w:rFonts w:cs="Calibri"/>
                <w:color w:val="000000"/>
                <w:kern w:val="0"/>
                <w:sz w:val="16"/>
                <w:szCs w:val="16"/>
                <w:lang w:bidi="ar"/>
              </w:rPr>
              <w:t>intel</w:t>
            </w:r>
            <w:r>
              <w:rPr>
                <w:rFonts w:hint="eastAsia" w:ascii="宋体" w:hAnsi="宋体" w:cs="宋体"/>
                <w:color w:val="000000"/>
                <w:kern w:val="0"/>
                <w:sz w:val="16"/>
                <w:szCs w:val="16"/>
                <w:lang w:bidi="ar"/>
              </w:rPr>
              <w:t>至强系列处理器，核数≥</w:t>
            </w:r>
            <w:r>
              <w:rPr>
                <w:rFonts w:cs="Calibri"/>
                <w:color w:val="000000"/>
                <w:kern w:val="0"/>
                <w:sz w:val="16"/>
                <w:szCs w:val="16"/>
                <w:lang w:bidi="ar"/>
              </w:rPr>
              <w:t>10</w:t>
            </w:r>
            <w:r>
              <w:rPr>
                <w:rFonts w:hint="eastAsia" w:ascii="宋体" w:hAnsi="宋体" w:cs="宋体"/>
                <w:color w:val="000000"/>
                <w:kern w:val="0"/>
                <w:sz w:val="16"/>
                <w:szCs w:val="16"/>
                <w:lang w:bidi="ar"/>
              </w:rPr>
              <w:t>核，主频≥</w:t>
            </w:r>
            <w:r>
              <w:rPr>
                <w:rFonts w:cs="Calibri"/>
                <w:color w:val="000000"/>
                <w:kern w:val="0"/>
                <w:sz w:val="16"/>
                <w:szCs w:val="16"/>
                <w:lang w:bidi="ar"/>
              </w:rPr>
              <w:t>2.2GHz</w:t>
            </w:r>
            <w:r>
              <w:rPr>
                <w:rFonts w:cs="Calibri"/>
                <w:color w:val="000000"/>
                <w:kern w:val="0"/>
                <w:sz w:val="16"/>
                <w:szCs w:val="16"/>
                <w:lang w:bidi="ar"/>
              </w:rPr>
              <w:br w:type="textWrapping"/>
            </w:r>
            <w:r>
              <w:rPr>
                <w:rFonts w:hint="eastAsia" w:ascii="宋体" w:hAnsi="宋体" w:cs="宋体"/>
                <w:color w:val="000000"/>
                <w:kern w:val="0"/>
                <w:sz w:val="16"/>
                <w:szCs w:val="16"/>
                <w:lang w:bidi="ar"/>
              </w:rPr>
              <w:t>内存：</w:t>
            </w:r>
            <w:r>
              <w:rPr>
                <w:rFonts w:cs="Calibri"/>
                <w:color w:val="000000"/>
                <w:kern w:val="0"/>
                <w:sz w:val="16"/>
                <w:szCs w:val="16"/>
                <w:lang w:bidi="ar"/>
              </w:rPr>
              <w:t>32G DDR4</w:t>
            </w:r>
            <w:r>
              <w:rPr>
                <w:rFonts w:hint="eastAsia" w:ascii="宋体" w:hAnsi="宋体" w:cs="宋体"/>
                <w:color w:val="000000"/>
                <w:kern w:val="0"/>
                <w:sz w:val="16"/>
                <w:szCs w:val="16"/>
                <w:lang w:bidi="ar"/>
              </w:rPr>
              <w:t>，</w:t>
            </w:r>
            <w:r>
              <w:rPr>
                <w:rFonts w:cs="Calibri"/>
                <w:color w:val="000000"/>
                <w:kern w:val="0"/>
                <w:sz w:val="16"/>
                <w:szCs w:val="16"/>
                <w:lang w:bidi="ar"/>
              </w:rPr>
              <w:t>16</w:t>
            </w:r>
            <w:r>
              <w:rPr>
                <w:rFonts w:hint="eastAsia" w:ascii="宋体" w:hAnsi="宋体" w:cs="宋体"/>
                <w:color w:val="000000"/>
                <w:kern w:val="0"/>
                <w:sz w:val="16"/>
                <w:szCs w:val="16"/>
                <w:lang w:bidi="ar"/>
              </w:rPr>
              <w:t>根内存插槽，最大支持扩展至</w:t>
            </w:r>
            <w:r>
              <w:rPr>
                <w:rFonts w:cs="Calibri"/>
                <w:color w:val="000000"/>
                <w:kern w:val="0"/>
                <w:sz w:val="16"/>
                <w:szCs w:val="16"/>
                <w:lang w:bidi="ar"/>
              </w:rPr>
              <w:t>2TB</w:t>
            </w:r>
            <w:r>
              <w:rPr>
                <w:rFonts w:hint="eastAsia" w:ascii="宋体" w:hAnsi="宋体" w:cs="宋体"/>
                <w:color w:val="000000"/>
                <w:kern w:val="0"/>
                <w:sz w:val="16"/>
                <w:szCs w:val="16"/>
                <w:lang w:bidi="ar"/>
              </w:rPr>
              <w:t>内存</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硬盘：</w:t>
            </w:r>
            <w:r>
              <w:rPr>
                <w:rFonts w:cs="Calibri"/>
                <w:color w:val="000000"/>
                <w:kern w:val="0"/>
                <w:sz w:val="16"/>
                <w:szCs w:val="16"/>
                <w:lang w:bidi="ar"/>
              </w:rPr>
              <w:t>4</w:t>
            </w:r>
            <w:r>
              <w:rPr>
                <w:rFonts w:hint="eastAsia" w:ascii="宋体" w:hAnsi="宋体" w:cs="宋体"/>
                <w:color w:val="000000"/>
                <w:kern w:val="0"/>
                <w:sz w:val="16"/>
                <w:szCs w:val="16"/>
                <w:lang w:bidi="ar"/>
              </w:rPr>
              <w:t>块</w:t>
            </w:r>
            <w:r>
              <w:rPr>
                <w:rFonts w:cs="Calibri"/>
                <w:color w:val="000000"/>
                <w:kern w:val="0"/>
                <w:sz w:val="16"/>
                <w:szCs w:val="16"/>
                <w:lang w:bidi="ar"/>
              </w:rPr>
              <w:t>600G 10K 2.5</w:t>
            </w:r>
            <w:r>
              <w:rPr>
                <w:rFonts w:hint="eastAsia" w:ascii="宋体" w:hAnsi="宋体" w:cs="宋体"/>
                <w:color w:val="000000"/>
                <w:kern w:val="0"/>
                <w:sz w:val="16"/>
                <w:szCs w:val="16"/>
                <w:lang w:bidi="ar"/>
              </w:rPr>
              <w:t>寸</w:t>
            </w:r>
            <w:r>
              <w:rPr>
                <w:rFonts w:cs="Calibri"/>
                <w:color w:val="000000"/>
                <w:kern w:val="0"/>
                <w:sz w:val="16"/>
                <w:szCs w:val="16"/>
                <w:lang w:bidi="ar"/>
              </w:rPr>
              <w:t xml:space="preserve"> SAS</w:t>
            </w:r>
            <w:r>
              <w:rPr>
                <w:rFonts w:hint="eastAsia" w:ascii="宋体" w:hAnsi="宋体" w:cs="宋体"/>
                <w:color w:val="000000"/>
                <w:kern w:val="0"/>
                <w:sz w:val="16"/>
                <w:szCs w:val="16"/>
                <w:lang w:bidi="ar"/>
              </w:rPr>
              <w:t>硬盘</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阵列卡：</w:t>
            </w:r>
            <w:r>
              <w:rPr>
                <w:rFonts w:cs="Calibri"/>
                <w:color w:val="000000"/>
                <w:kern w:val="0"/>
                <w:sz w:val="16"/>
                <w:szCs w:val="16"/>
                <w:lang w:bidi="ar"/>
              </w:rPr>
              <w:t>SAS_HBA</w:t>
            </w:r>
            <w:r>
              <w:rPr>
                <w:rFonts w:hint="eastAsia" w:ascii="宋体" w:hAnsi="宋体" w:cs="宋体"/>
                <w:color w:val="000000"/>
                <w:kern w:val="0"/>
                <w:sz w:val="16"/>
                <w:szCs w:val="16"/>
                <w:lang w:bidi="ar"/>
              </w:rPr>
              <w:t>卡</w:t>
            </w:r>
            <w:r>
              <w:rPr>
                <w:rFonts w:cs="Calibri"/>
                <w:color w:val="000000"/>
                <w:kern w:val="0"/>
                <w:sz w:val="16"/>
                <w:szCs w:val="16"/>
                <w:lang w:bidi="ar"/>
              </w:rPr>
              <w:t xml:space="preserve">, </w:t>
            </w:r>
            <w:r>
              <w:rPr>
                <w:rFonts w:hint="eastAsia" w:ascii="宋体" w:hAnsi="宋体" w:cs="宋体"/>
                <w:color w:val="000000"/>
                <w:kern w:val="0"/>
                <w:sz w:val="16"/>
                <w:szCs w:val="16"/>
                <w:lang w:bidi="ar"/>
              </w:rPr>
              <w:t>支持</w:t>
            </w:r>
            <w:r>
              <w:rPr>
                <w:rFonts w:cs="Calibri"/>
                <w:color w:val="000000"/>
                <w:kern w:val="0"/>
                <w:sz w:val="16"/>
                <w:szCs w:val="16"/>
                <w:lang w:bidi="ar"/>
              </w:rPr>
              <w:t>RAID 0/1/10</w:t>
            </w:r>
            <w:r>
              <w:rPr>
                <w:rFonts w:cs="Calibri"/>
                <w:color w:val="000000"/>
                <w:kern w:val="0"/>
                <w:sz w:val="16"/>
                <w:szCs w:val="16"/>
                <w:lang w:bidi="ar"/>
              </w:rPr>
              <w:br w:type="textWrapping"/>
            </w:r>
            <w:r>
              <w:rPr>
                <w:rFonts w:cs="Calibri"/>
                <w:color w:val="000000"/>
                <w:kern w:val="0"/>
                <w:sz w:val="16"/>
                <w:szCs w:val="16"/>
                <w:lang w:bidi="ar"/>
              </w:rPr>
              <w:t>PCIE</w:t>
            </w:r>
            <w:r>
              <w:rPr>
                <w:rFonts w:hint="eastAsia" w:ascii="宋体" w:hAnsi="宋体" w:cs="宋体"/>
                <w:color w:val="000000"/>
                <w:kern w:val="0"/>
                <w:sz w:val="16"/>
                <w:szCs w:val="16"/>
                <w:lang w:bidi="ar"/>
              </w:rPr>
              <w:t>扩展：最大可支持</w:t>
            </w:r>
            <w:r>
              <w:rPr>
                <w:rFonts w:cs="Calibri"/>
                <w:color w:val="000000"/>
                <w:kern w:val="0"/>
                <w:sz w:val="16"/>
                <w:szCs w:val="16"/>
                <w:lang w:bidi="ar"/>
              </w:rPr>
              <w:t>6</w:t>
            </w:r>
            <w:r>
              <w:rPr>
                <w:rFonts w:hint="eastAsia" w:ascii="宋体" w:hAnsi="宋体" w:cs="宋体"/>
                <w:color w:val="000000"/>
                <w:kern w:val="0"/>
                <w:sz w:val="16"/>
                <w:szCs w:val="16"/>
                <w:lang w:bidi="ar"/>
              </w:rPr>
              <w:t>个</w:t>
            </w:r>
            <w:r>
              <w:rPr>
                <w:rFonts w:cs="Calibri"/>
                <w:color w:val="000000"/>
                <w:kern w:val="0"/>
                <w:sz w:val="16"/>
                <w:szCs w:val="16"/>
                <w:lang w:bidi="ar"/>
              </w:rPr>
              <w:t>PCIE</w:t>
            </w:r>
            <w:r>
              <w:rPr>
                <w:rFonts w:hint="eastAsia" w:ascii="宋体" w:hAnsi="宋体" w:cs="宋体"/>
                <w:color w:val="000000"/>
                <w:kern w:val="0"/>
                <w:sz w:val="16"/>
                <w:szCs w:val="16"/>
                <w:lang w:bidi="ar"/>
              </w:rPr>
              <w:t>扩展插槽</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网口：</w:t>
            </w:r>
            <w:r>
              <w:rPr>
                <w:rFonts w:cs="Calibri"/>
                <w:color w:val="000000"/>
                <w:kern w:val="0"/>
                <w:sz w:val="16"/>
                <w:szCs w:val="16"/>
                <w:lang w:bidi="ar"/>
              </w:rPr>
              <w:t>2</w:t>
            </w:r>
            <w:r>
              <w:rPr>
                <w:rFonts w:hint="eastAsia" w:ascii="宋体" w:hAnsi="宋体" w:cs="宋体"/>
                <w:color w:val="000000"/>
                <w:kern w:val="0"/>
                <w:sz w:val="16"/>
                <w:szCs w:val="16"/>
                <w:lang w:bidi="ar"/>
              </w:rPr>
              <w:t>个千兆电口</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其他接口：</w:t>
            </w:r>
            <w:r>
              <w:rPr>
                <w:rFonts w:cs="Calibri"/>
                <w:color w:val="000000"/>
                <w:kern w:val="0"/>
                <w:sz w:val="16"/>
                <w:szCs w:val="16"/>
                <w:lang w:bidi="ar"/>
              </w:rPr>
              <w:t>1</w:t>
            </w:r>
            <w:r>
              <w:rPr>
                <w:rFonts w:hint="eastAsia" w:ascii="宋体" w:hAnsi="宋体" w:cs="宋体"/>
                <w:color w:val="000000"/>
                <w:kern w:val="0"/>
                <w:sz w:val="16"/>
                <w:szCs w:val="16"/>
                <w:lang w:bidi="ar"/>
              </w:rPr>
              <w:t>个</w:t>
            </w:r>
            <w:r>
              <w:rPr>
                <w:rFonts w:cs="Calibri"/>
                <w:color w:val="000000"/>
                <w:kern w:val="0"/>
                <w:sz w:val="16"/>
                <w:szCs w:val="16"/>
                <w:lang w:bidi="ar"/>
              </w:rPr>
              <w:t>RJ45</w:t>
            </w:r>
            <w:r>
              <w:rPr>
                <w:rFonts w:hint="eastAsia" w:ascii="宋体" w:hAnsi="宋体" w:cs="宋体"/>
                <w:color w:val="000000"/>
                <w:kern w:val="0"/>
                <w:sz w:val="16"/>
                <w:szCs w:val="16"/>
                <w:lang w:bidi="ar"/>
              </w:rPr>
              <w:t>管理接口，</w:t>
            </w:r>
            <w:r>
              <w:rPr>
                <w:rFonts w:cs="Calibri"/>
                <w:color w:val="000000"/>
                <w:kern w:val="0"/>
                <w:sz w:val="16"/>
                <w:szCs w:val="16"/>
                <w:lang w:bidi="ar"/>
              </w:rPr>
              <w:t>4</w:t>
            </w:r>
            <w:r>
              <w:rPr>
                <w:rFonts w:hint="eastAsia" w:ascii="宋体" w:hAnsi="宋体" w:cs="宋体"/>
                <w:color w:val="000000"/>
                <w:kern w:val="0"/>
                <w:sz w:val="16"/>
                <w:szCs w:val="16"/>
                <w:lang w:bidi="ar"/>
              </w:rPr>
              <w:t>个</w:t>
            </w:r>
            <w:r>
              <w:rPr>
                <w:rFonts w:cs="Calibri"/>
                <w:color w:val="000000"/>
                <w:kern w:val="0"/>
                <w:sz w:val="16"/>
                <w:szCs w:val="16"/>
                <w:lang w:bidi="ar"/>
              </w:rPr>
              <w:t>USB 3.0</w:t>
            </w:r>
            <w:r>
              <w:rPr>
                <w:rFonts w:hint="eastAsia" w:ascii="宋体" w:hAnsi="宋体" w:cs="宋体"/>
                <w:color w:val="000000"/>
                <w:kern w:val="0"/>
                <w:sz w:val="16"/>
                <w:szCs w:val="16"/>
                <w:lang w:bidi="ar"/>
              </w:rPr>
              <w:t>接口，</w:t>
            </w:r>
            <w:r>
              <w:rPr>
                <w:rFonts w:cs="Calibri"/>
                <w:color w:val="000000"/>
                <w:kern w:val="0"/>
                <w:sz w:val="16"/>
                <w:szCs w:val="16"/>
                <w:lang w:bidi="ar"/>
              </w:rPr>
              <w:t>1</w:t>
            </w:r>
            <w:r>
              <w:rPr>
                <w:rFonts w:hint="eastAsia" w:ascii="宋体" w:hAnsi="宋体" w:cs="宋体"/>
                <w:color w:val="000000"/>
                <w:kern w:val="0"/>
                <w:sz w:val="16"/>
                <w:szCs w:val="16"/>
                <w:lang w:bidi="ar"/>
              </w:rPr>
              <w:t>个</w:t>
            </w:r>
            <w:r>
              <w:rPr>
                <w:rFonts w:cs="Calibri"/>
                <w:color w:val="000000"/>
                <w:kern w:val="0"/>
                <w:sz w:val="16"/>
                <w:szCs w:val="16"/>
                <w:lang w:bidi="ar"/>
              </w:rPr>
              <w:t>VGA</w:t>
            </w:r>
            <w:r>
              <w:rPr>
                <w:rFonts w:hint="eastAsia" w:ascii="宋体" w:hAnsi="宋体" w:cs="宋体"/>
                <w:color w:val="000000"/>
                <w:kern w:val="0"/>
                <w:sz w:val="16"/>
                <w:szCs w:val="16"/>
                <w:lang w:bidi="ar"/>
              </w:rPr>
              <w:t>接口</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电源：标配</w:t>
            </w:r>
            <w:r>
              <w:rPr>
                <w:rFonts w:cs="Calibri"/>
                <w:color w:val="000000"/>
                <w:kern w:val="0"/>
                <w:sz w:val="16"/>
                <w:szCs w:val="16"/>
                <w:lang w:bidi="ar"/>
              </w:rPr>
              <w:t>550W</w:t>
            </w:r>
            <w:r>
              <w:rPr>
                <w:rFonts w:hint="eastAsia" w:ascii="宋体" w:hAnsi="宋体" w:cs="宋体"/>
                <w:color w:val="000000"/>
                <w:kern w:val="0"/>
                <w:sz w:val="16"/>
                <w:szCs w:val="16"/>
                <w:lang w:bidi="ar"/>
              </w:rPr>
              <w:t>（</w:t>
            </w:r>
            <w:r>
              <w:rPr>
                <w:rFonts w:cs="Calibri"/>
                <w:color w:val="000000"/>
                <w:kern w:val="0"/>
                <w:sz w:val="16"/>
                <w:szCs w:val="16"/>
                <w:lang w:bidi="ar"/>
              </w:rPr>
              <w:t>1+1</w:t>
            </w:r>
            <w:r>
              <w:rPr>
                <w:rFonts w:hint="eastAsia" w:ascii="宋体" w:hAnsi="宋体" w:cs="宋体"/>
                <w:color w:val="000000"/>
                <w:kern w:val="0"/>
                <w:sz w:val="16"/>
                <w:szCs w:val="16"/>
                <w:lang w:bidi="ar"/>
              </w:rPr>
              <w:t>）高效铂金</w:t>
            </w:r>
            <w:r>
              <w:rPr>
                <w:rFonts w:cs="Calibri"/>
                <w:color w:val="000000"/>
                <w:kern w:val="0"/>
                <w:sz w:val="16"/>
                <w:szCs w:val="16"/>
                <w:lang w:bidi="ar"/>
              </w:rPr>
              <w:t>CRPS</w:t>
            </w:r>
            <w:r>
              <w:rPr>
                <w:rFonts w:hint="eastAsia" w:ascii="宋体" w:hAnsi="宋体" w:cs="宋体"/>
                <w:color w:val="000000"/>
                <w:kern w:val="0"/>
                <w:sz w:val="16"/>
                <w:szCs w:val="16"/>
                <w:lang w:bidi="ar"/>
              </w:rPr>
              <w:t>冗余电源</w:t>
            </w:r>
            <w:r>
              <w:rPr>
                <w:rFonts w:cs="Calibri"/>
                <w:color w:val="000000"/>
                <w:kern w:val="0"/>
                <w:sz w:val="16"/>
                <w:szCs w:val="16"/>
                <w:lang w:bidi="ar"/>
              </w:rPr>
              <w:t xml:space="preserve"> </w:t>
            </w:r>
            <w:r>
              <w:rPr>
                <w:rFonts w:cs="Calibri"/>
                <w:color w:val="000000"/>
                <w:kern w:val="0"/>
                <w:sz w:val="16"/>
                <w:szCs w:val="16"/>
                <w:lang w:bidi="ar"/>
              </w:rPr>
              <w:br w:type="textWrapping"/>
            </w:r>
            <w:r>
              <w:rPr>
                <w:rFonts w:hint="eastAsia" w:ascii="宋体" w:hAnsi="宋体" w:cs="宋体"/>
                <w:color w:val="000000"/>
                <w:kern w:val="0"/>
                <w:sz w:val="16"/>
                <w:szCs w:val="16"/>
                <w:lang w:bidi="ar"/>
              </w:rPr>
              <w:t>机箱规格：</w:t>
            </w:r>
            <w:r>
              <w:rPr>
                <w:rFonts w:cs="Calibri"/>
                <w:color w:val="000000"/>
                <w:kern w:val="0"/>
                <w:sz w:val="16"/>
                <w:szCs w:val="16"/>
                <w:lang w:bidi="ar"/>
              </w:rPr>
              <w:t>87.8mm(</w:t>
            </w:r>
            <w:r>
              <w:rPr>
                <w:rFonts w:hint="eastAsia" w:ascii="宋体" w:hAnsi="宋体" w:cs="宋体"/>
                <w:color w:val="000000"/>
                <w:kern w:val="0"/>
                <w:sz w:val="16"/>
                <w:szCs w:val="16"/>
                <w:lang w:bidi="ar"/>
              </w:rPr>
              <w:t>高</w:t>
            </w:r>
            <w:r>
              <w:rPr>
                <w:rFonts w:cs="Calibri"/>
                <w:color w:val="000000"/>
                <w:kern w:val="0"/>
                <w:sz w:val="16"/>
                <w:szCs w:val="16"/>
                <w:lang w:bidi="ar"/>
              </w:rPr>
              <w:t>)x 448mm(</w:t>
            </w:r>
            <w:r>
              <w:rPr>
                <w:rFonts w:hint="eastAsia" w:ascii="宋体" w:hAnsi="宋体" w:cs="宋体"/>
                <w:color w:val="000000"/>
                <w:kern w:val="0"/>
                <w:sz w:val="16"/>
                <w:szCs w:val="16"/>
                <w:lang w:bidi="ar"/>
              </w:rPr>
              <w:t>宽</w:t>
            </w:r>
            <w:r>
              <w:rPr>
                <w:rFonts w:cs="Calibri"/>
                <w:color w:val="000000"/>
                <w:kern w:val="0"/>
                <w:sz w:val="16"/>
                <w:szCs w:val="16"/>
                <w:lang w:bidi="ar"/>
              </w:rPr>
              <w:t>)x729.8mm(</w:t>
            </w:r>
            <w:r>
              <w:rPr>
                <w:rFonts w:hint="eastAsia" w:ascii="宋体" w:hAnsi="宋体" w:cs="宋体"/>
                <w:color w:val="000000"/>
                <w:kern w:val="0"/>
                <w:sz w:val="16"/>
                <w:szCs w:val="16"/>
                <w:lang w:bidi="ar"/>
              </w:rPr>
              <w:t>深</w:t>
            </w:r>
            <w:r>
              <w:rPr>
                <w:rFonts w:cs="Calibri"/>
                <w:color w:val="000000"/>
                <w:kern w:val="0"/>
                <w:sz w:val="16"/>
                <w:szCs w:val="16"/>
                <w:lang w:bidi="ar"/>
              </w:rPr>
              <w:t>)</w:t>
            </w:r>
            <w:r>
              <w:rPr>
                <w:rFonts w:cs="Calibri"/>
                <w:color w:val="000000"/>
                <w:kern w:val="0"/>
                <w:sz w:val="16"/>
                <w:szCs w:val="16"/>
                <w:lang w:bidi="ar"/>
              </w:rPr>
              <w:br w:type="textWrapping"/>
            </w:r>
            <w:r>
              <w:rPr>
                <w:rFonts w:hint="eastAsia" w:ascii="宋体" w:hAnsi="宋体" w:cs="宋体"/>
                <w:color w:val="000000"/>
                <w:kern w:val="0"/>
                <w:sz w:val="16"/>
                <w:szCs w:val="16"/>
                <w:lang w:bidi="ar"/>
              </w:rPr>
              <w:t>设备重量：约</w:t>
            </w:r>
            <w:r>
              <w:rPr>
                <w:rFonts w:cs="Calibri"/>
                <w:color w:val="000000"/>
                <w:kern w:val="0"/>
                <w:sz w:val="16"/>
                <w:szCs w:val="16"/>
                <w:lang w:bidi="ar"/>
              </w:rPr>
              <w:t>26KG</w:t>
            </w:r>
            <w:r>
              <w:rPr>
                <w:rFonts w:hint="eastAsia" w:ascii="宋体" w:hAnsi="宋体" w:cs="宋体"/>
                <w:color w:val="000000"/>
                <w:kern w:val="0"/>
                <w:sz w:val="16"/>
                <w:szCs w:val="16"/>
                <w:lang w:bidi="ar"/>
              </w:rPr>
              <w:t>（含导轨）</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操作系统：</w:t>
            </w:r>
            <w:r>
              <w:rPr>
                <w:rFonts w:cs="Calibri"/>
                <w:color w:val="000000"/>
                <w:kern w:val="0"/>
                <w:sz w:val="16"/>
                <w:szCs w:val="16"/>
                <w:lang w:bidi="ar"/>
              </w:rPr>
              <w:t>Microsoft Windows Server 2016</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台</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cs="Calibri"/>
                <w:color w:val="000000"/>
                <w:sz w:val="16"/>
                <w:szCs w:val="16"/>
              </w:rPr>
            </w:pPr>
            <w:r>
              <w:rPr>
                <w:rFonts w:cs="Calibri"/>
                <w:color w:val="000000"/>
                <w:kern w:val="0"/>
                <w:sz w:val="16"/>
                <w:szCs w:val="16"/>
                <w:lang w:bidi="ar"/>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cs="Calibri"/>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cs="Calibri"/>
                <w:color w:val="000000"/>
                <w:sz w:val="16"/>
                <w:szCs w:val="16"/>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用于部署第三方报警主机接入服务</w:t>
            </w:r>
          </w:p>
        </w:tc>
      </w:tr>
      <w:tr>
        <w:tblPrEx>
          <w:tblLayout w:type="fixed"/>
          <w:tblCellMar>
            <w:top w:w="15" w:type="dxa"/>
            <w:left w:w="15" w:type="dxa"/>
            <w:bottom w:w="15" w:type="dxa"/>
            <w:right w:w="15" w:type="dxa"/>
          </w:tblCellMar>
        </w:tblPrEx>
        <w:trPr>
          <w:trHeight w:val="4503"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3</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大屏液晶监视器（46寸、含底座支架）低亮，3.5mm拼缝</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52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双边拼缝：≤ 3.5 mm</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 xml:space="preserve">外观尺寸 1022.2 (W) × 576.8 (H) × 66.7 (D)  </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 xml:space="preserve">屏幕对角线 46寸  </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 xml:space="preserve">屏幕分辨率 1920 × 1080@60 Hz（向下兼容）  </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 xml:space="preserve">激活显示面积 1018.08(H) x 572.67(V) mm  </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 xml:space="preserve">宽高比 16:9  </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 xml:space="preserve">面板亮度 ≥ 500 cd/m2 </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对比度 4500：1（Typ.）（透射）</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 xml:space="preserve">刷新频率 60Hz  </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显示颜色16.7M（8-bit）</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 xml:space="preserve">观看视角 178°(水平)/ 178°(垂直) </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像素间距 0.53025x0.53025mm（HxV）</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点间距 0.17675x0.53025mm（HxV）</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 xml:space="preserve">最佳工作温度 0-40摄氏度  </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 xml:space="preserve">电源 AC-220V </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支持VGA输入、HDMI输入、DVI输入，工业标准设计，可支持系统升级。</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台</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12</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cs="Calibri"/>
                <w:color w:val="000000"/>
                <w:sz w:val="16"/>
                <w:szCs w:val="16"/>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含底座支架的安装</w:t>
            </w:r>
          </w:p>
        </w:tc>
      </w:tr>
      <w:tr>
        <w:tblPrEx>
          <w:tblLayout w:type="fixed"/>
          <w:tblCellMar>
            <w:top w:w="15" w:type="dxa"/>
            <w:left w:w="15" w:type="dxa"/>
            <w:bottom w:w="15" w:type="dxa"/>
            <w:right w:w="15" w:type="dxa"/>
          </w:tblCellMar>
        </w:tblPrEx>
        <w:trPr>
          <w:trHeight w:val="42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4</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网络机柜</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52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2000*1000*600</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台</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cs="Calibri"/>
                <w:color w:val="000000"/>
                <w:sz w:val="16"/>
                <w:szCs w:val="16"/>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包含6块搁板</w:t>
            </w:r>
          </w:p>
        </w:tc>
      </w:tr>
      <w:tr>
        <w:tblPrEx>
          <w:tblLayout w:type="fixed"/>
          <w:tblCellMar>
            <w:top w:w="15" w:type="dxa"/>
            <w:left w:w="15" w:type="dxa"/>
            <w:bottom w:w="15" w:type="dxa"/>
            <w:right w:w="15" w:type="dxa"/>
          </w:tblCellMar>
        </w:tblPrEx>
        <w:trPr>
          <w:trHeight w:val="54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5</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操作台PC</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52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I5 10400+16G +2THDD+23吋显示器+无线键鼠+2.1木质音箱。</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台</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5</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其中1台加配光刻机。</w:t>
            </w:r>
          </w:p>
        </w:tc>
      </w:tr>
      <w:tr>
        <w:tblPrEx>
          <w:tblLayout w:type="fixed"/>
          <w:tblCellMar>
            <w:top w:w="15" w:type="dxa"/>
            <w:left w:w="15" w:type="dxa"/>
            <w:bottom w:w="15" w:type="dxa"/>
            <w:right w:w="15" w:type="dxa"/>
          </w:tblCellMar>
        </w:tblPrEx>
        <w:trPr>
          <w:trHeight w:val="56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超高清解码器</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52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5U 机箱+4 路DVI 输入+20 路HDMI 输出+单主控板+单电源</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支持H.265、H.264、MPEG4、MJPEG 等主流的编码格式</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支持PS、TS、ES、RTP、HIK 等主流封装格式</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支持ONVIF 协议接入设备解码</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大屏拼接</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最大支持20个显示屏的任意大屏拼接</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支持开窗和漫游功能</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窗口支持1/4/6/8/9/16 画面分割</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最大支持8 个预设场景，用户可以自定义每个场景电视墙布局</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支持场景预案</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视频编码输入</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采用H.264 视频压缩标准</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支持DVI 视频信号接入编码</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视频解码输出</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支持HDMI 输出显示</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支持1/4/6/8/9/16 画面分割显示</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最高支持1200W 高清视频解码</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最高160 路200W 高清视频解码能力</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台</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含12根5米HDMI高清线缆</w:t>
            </w:r>
          </w:p>
        </w:tc>
      </w:tr>
      <w:tr>
        <w:tblPrEx>
          <w:tblLayout w:type="fixed"/>
          <w:tblCellMar>
            <w:top w:w="15" w:type="dxa"/>
            <w:left w:w="15" w:type="dxa"/>
            <w:bottom w:w="15" w:type="dxa"/>
            <w:right w:w="15" w:type="dxa"/>
          </w:tblCellMar>
        </w:tblPrEx>
        <w:trPr>
          <w:trHeight w:val="3699" w:hRule="atLeast"/>
        </w:trPr>
        <w:tc>
          <w:tcPr>
            <w:tcW w:w="55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7</w:t>
            </w:r>
          </w:p>
        </w:tc>
        <w:tc>
          <w:tcPr>
            <w:tcW w:w="74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人脸识别一体机</w:t>
            </w:r>
          </w:p>
        </w:tc>
        <w:tc>
          <w:tcPr>
            <w:tcW w:w="535" w:type="dxa"/>
            <w:tcBorders>
              <w:top w:val="single" w:color="000000" w:sz="4" w:space="0"/>
              <w:left w:val="single" w:color="000000" w:sz="4" w:space="0"/>
              <w:bottom w:val="single" w:color="auto"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582" w:type="dxa"/>
            <w:tcBorders>
              <w:top w:val="single" w:color="000000" w:sz="4" w:space="0"/>
              <w:left w:val="single" w:color="000000" w:sz="4" w:space="0"/>
              <w:bottom w:val="single" w:color="auto"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5245"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napToGrid w:val="0"/>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1、设备采用嵌入式系统，7英寸及以上，屏幕流明度不低于360cd/㎡。</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2、设备本地人脸库存储容量不少于50000张，本地卡存储容量不少于50000张，本地出入记录存储容量不少于50000条。</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4、设备支持在屏幕显示区域直接刷卡识别，支持IC卡，身份证物理卡号读取，CPU卡内容读取及开启/关闭NFC刷卡功能，支持人脸、刷卡（包括CPU卡、NFC、二代身份证等）和密码任意一种、任意两组组合、任意三组组合认证开门。</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5、人脸识别距离0.2~3m；人脸比对平均时间≤0.175s；人脸识别误识率≤0.01%的条件下，准确率应99.9%；支持在0.001lux低照度无补光环境下正常实现人脸识别看，人脸识别距离可自定义设置；支持防假体攻击功能，对视频、电子照片、打印照片中的人脸应不能进行人脸识别。</w:t>
            </w:r>
          </w:p>
        </w:tc>
        <w:tc>
          <w:tcPr>
            <w:tcW w:w="567"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套</w:t>
            </w:r>
          </w:p>
        </w:tc>
        <w:tc>
          <w:tcPr>
            <w:tcW w:w="56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napToGrid w:val="0"/>
              <w:jc w:val="center"/>
              <w:textAlignment w:val="center"/>
              <w:rPr>
                <w:rFonts w:hint="eastAsia" w:ascii="微软雅黑" w:hAnsi="微软雅黑" w:eastAsia="微软雅黑" w:cs="微软雅黑"/>
                <w:color w:val="000000"/>
                <w:sz w:val="16"/>
                <w:szCs w:val="16"/>
                <w:lang w:eastAsia="zh-CN"/>
              </w:rPr>
            </w:pPr>
            <w:r>
              <w:rPr>
                <w:rFonts w:hint="eastAsia" w:ascii="微软雅黑" w:hAnsi="微软雅黑" w:eastAsia="微软雅黑" w:cs="微软雅黑"/>
                <w:color w:val="000000"/>
                <w:kern w:val="0"/>
                <w:sz w:val="16"/>
                <w:szCs w:val="16"/>
                <w:lang w:val="en-US" w:eastAsia="zh-CN" w:bidi="ar"/>
              </w:rPr>
              <w:t>11</w:t>
            </w:r>
          </w:p>
        </w:tc>
        <w:tc>
          <w:tcPr>
            <w:tcW w:w="567" w:type="dxa"/>
            <w:tcBorders>
              <w:top w:val="single" w:color="000000" w:sz="4" w:space="0"/>
              <w:left w:val="single" w:color="000000" w:sz="4" w:space="0"/>
              <w:bottom w:val="single" w:color="auto"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709" w:type="dxa"/>
            <w:tcBorders>
              <w:top w:val="single" w:color="000000" w:sz="4" w:space="0"/>
              <w:left w:val="single" w:color="000000" w:sz="4" w:space="0"/>
              <w:bottom w:val="single" w:color="auto"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130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napToGrid w:val="0"/>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大楼更换</w:t>
            </w:r>
            <w:r>
              <w:rPr>
                <w:rFonts w:hint="eastAsia" w:ascii="微软雅黑" w:hAnsi="微软雅黑" w:eastAsia="微软雅黑" w:cs="微软雅黑"/>
                <w:color w:val="000000"/>
                <w:kern w:val="0"/>
                <w:sz w:val="16"/>
                <w:szCs w:val="16"/>
                <w:lang w:val="en-US" w:eastAsia="zh-CN" w:bidi="ar"/>
              </w:rPr>
              <w:t>11</w:t>
            </w:r>
            <w:r>
              <w:rPr>
                <w:rFonts w:hint="eastAsia" w:ascii="微软雅黑" w:hAnsi="微软雅黑" w:eastAsia="微软雅黑" w:cs="微软雅黑"/>
                <w:color w:val="000000"/>
                <w:kern w:val="0"/>
                <w:sz w:val="16"/>
                <w:szCs w:val="16"/>
                <w:lang w:bidi="ar"/>
              </w:rPr>
              <w:t>道门门禁输入</w:t>
            </w:r>
          </w:p>
        </w:tc>
      </w:tr>
      <w:tr>
        <w:tblPrEx>
          <w:tblLayout w:type="fixed"/>
          <w:tblCellMar>
            <w:top w:w="15" w:type="dxa"/>
            <w:left w:w="15" w:type="dxa"/>
            <w:bottom w:w="15" w:type="dxa"/>
            <w:right w:w="15" w:type="dxa"/>
          </w:tblCellMar>
        </w:tblPrEx>
        <w:trPr>
          <w:trHeight w:val="1350" w:hRule="atLeast"/>
        </w:trPr>
        <w:tc>
          <w:tcPr>
            <w:tcW w:w="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8</w:t>
            </w:r>
          </w:p>
        </w:tc>
        <w:tc>
          <w:tcPr>
            <w:tcW w:w="7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定制开发费用</w:t>
            </w:r>
          </w:p>
        </w:tc>
        <w:tc>
          <w:tcPr>
            <w:tcW w:w="5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报警设备对接</w:t>
            </w:r>
          </w:p>
        </w:tc>
        <w:tc>
          <w:tcPr>
            <w:tcW w:w="52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对接英安特NT316或者308</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博世  ICP-CMS40-CHI、霍尼韦尔2316+IPM23。复用项目定制成果物，集成驱动和资源包，已支持实现报警信息接收，定制实现报警主机回控，包括远程撤布防功能，</w:t>
            </w:r>
          </w:p>
        </w:tc>
        <w:tc>
          <w:tcPr>
            <w:tcW w:w="5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人/天</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cs="Calibri"/>
                <w:color w:val="000000"/>
                <w:sz w:val="16"/>
                <w:szCs w:val="16"/>
              </w:rPr>
            </w:pPr>
            <w:r>
              <w:rPr>
                <w:rFonts w:cs="Calibri"/>
                <w:color w:val="000000"/>
                <w:kern w:val="0"/>
                <w:sz w:val="16"/>
                <w:szCs w:val="16"/>
                <w:lang w:bidi="ar"/>
              </w:rPr>
              <w:t>5</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Calibri"/>
                <w:color w:val="000000"/>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Calibri"/>
                <w:color w:val="000000"/>
                <w:sz w:val="16"/>
                <w:szCs w:val="16"/>
              </w:rPr>
            </w:pP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需对接博世、英安特、霍尼韦尔、枫叶等报警主机</w:t>
            </w:r>
          </w:p>
        </w:tc>
      </w:tr>
      <w:tr>
        <w:tblPrEx>
          <w:tblLayout w:type="fixed"/>
          <w:tblCellMar>
            <w:top w:w="15" w:type="dxa"/>
            <w:left w:w="15" w:type="dxa"/>
            <w:bottom w:w="15" w:type="dxa"/>
            <w:right w:w="15" w:type="dxa"/>
          </w:tblCellMar>
        </w:tblPrEx>
        <w:trPr>
          <w:trHeight w:val="840" w:hRule="atLeast"/>
        </w:trPr>
        <w:tc>
          <w:tcPr>
            <w:tcW w:w="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7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5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门禁系统对接</w:t>
            </w:r>
          </w:p>
        </w:tc>
        <w:tc>
          <w:tcPr>
            <w:tcW w:w="52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对接讯美，丽泽，金凯，阿兰德门禁平台，实现门禁系统报警信息接收，联动视频弹窗功能。</w:t>
            </w:r>
          </w:p>
        </w:tc>
        <w:tc>
          <w:tcPr>
            <w:tcW w:w="5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人/天</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cs="Calibri"/>
                <w:color w:val="000000"/>
                <w:sz w:val="16"/>
                <w:szCs w:val="16"/>
              </w:rPr>
            </w:pPr>
            <w:r>
              <w:rPr>
                <w:rFonts w:cs="Calibri"/>
                <w:color w:val="000000"/>
                <w:kern w:val="0"/>
                <w:sz w:val="16"/>
                <w:szCs w:val="16"/>
                <w:lang w:bidi="ar"/>
              </w:rPr>
              <w:t>5</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Calibri"/>
                <w:color w:val="000000"/>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Calibri"/>
                <w:color w:val="000000"/>
                <w:sz w:val="16"/>
                <w:szCs w:val="16"/>
              </w:rPr>
            </w:pP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需对接讯美，丽泽，金凯，阿兰德等联动门信号</w:t>
            </w:r>
          </w:p>
        </w:tc>
      </w:tr>
      <w:tr>
        <w:tblPrEx>
          <w:tblLayout w:type="fixed"/>
          <w:tblCellMar>
            <w:top w:w="15" w:type="dxa"/>
            <w:left w:w="15" w:type="dxa"/>
            <w:bottom w:w="15" w:type="dxa"/>
            <w:right w:w="15" w:type="dxa"/>
          </w:tblCellMar>
        </w:tblPrEx>
        <w:trPr>
          <w:trHeight w:val="5078" w:hRule="atLeast"/>
        </w:trPr>
        <w:tc>
          <w:tcPr>
            <w:tcW w:w="559"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9</w:t>
            </w:r>
          </w:p>
        </w:tc>
        <w:tc>
          <w:tcPr>
            <w:tcW w:w="749"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消防联动模块</w:t>
            </w:r>
          </w:p>
        </w:tc>
        <w:tc>
          <w:tcPr>
            <w:tcW w:w="535" w:type="dxa"/>
            <w:vMerge w:val="restart"/>
            <w:tcBorders>
              <w:top w:val="single" w:color="auto" w:sz="4" w:space="0"/>
              <w:left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582" w:type="dxa"/>
            <w:tcBorders>
              <w:top w:val="single" w:color="auto" w:sz="4" w:space="0"/>
              <w:left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用户信息传输装置</w:t>
            </w:r>
          </w:p>
        </w:tc>
        <w:tc>
          <w:tcPr>
            <w:tcW w:w="5245" w:type="dxa"/>
            <w:gridSpan w:val="3"/>
            <w:tcBorders>
              <w:top w:val="single" w:color="auto" w:sz="4" w:space="0"/>
              <w:left w:val="single" w:color="000000" w:sz="4" w:space="0"/>
              <w:right w:val="single" w:color="000000" w:sz="4" w:space="0"/>
            </w:tcBorders>
            <w:shd w:val="clear" w:color="auto" w:fill="auto"/>
            <w:vAlign w:val="center"/>
          </w:tcPr>
          <w:p>
            <w:pPr>
              <w:widowControl/>
              <w:snapToGrid w:val="0"/>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 xml:space="preserve">（1） 2 路 RS-232 通讯接口、 2 路 RS-485 通讯接口，1 路 CAN 通讯接口、 1 路 RJ45 网络通讯口, </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（2） 手动报警：具有手动火警按钮，可以向管理平台上传人工火灾报警信息 ；</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（3） 断网续传：网络断网恢复后，接续上传断网期间的数据；</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（4） 值班查岗：支持值班查岗功能；</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（5） 1路开关量输入，2路常开输出</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（6） 1 个以太网接口，能够对目标 IP，目标机号，本机机号设置；</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（7） 支持查找历史记录：历史火警、历史请求/反馈、历史故障、历史操作各 1000 条。</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（8） 提供液晶显示（128x64），提供实时时钟；</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（9） 蓄电池备用供电（待机 24 小时以上）</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（10） 交流输入电压 220V 50Hz</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（11） 直流备电 12V 7Ah 铅酸电池一节</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（12） 工作温度 0℃～+50℃</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（13） 工作湿度 ≤95%RH</w:t>
            </w:r>
          </w:p>
        </w:tc>
        <w:tc>
          <w:tcPr>
            <w:tcW w:w="567" w:type="dxa"/>
            <w:gridSpan w:val="2"/>
            <w:tcBorders>
              <w:top w:val="single" w:color="auto" w:sz="4" w:space="0"/>
              <w:left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套</w:t>
            </w:r>
          </w:p>
        </w:tc>
        <w:tc>
          <w:tcPr>
            <w:tcW w:w="567" w:type="dxa"/>
            <w:tcBorders>
              <w:top w:val="single" w:color="auto" w:sz="4" w:space="0"/>
              <w:left w:val="single" w:color="000000" w:sz="4" w:space="0"/>
              <w:right w:val="single" w:color="000000" w:sz="4" w:space="0"/>
            </w:tcBorders>
            <w:shd w:val="clear" w:color="auto" w:fill="auto"/>
            <w:vAlign w:val="center"/>
          </w:tcPr>
          <w:p>
            <w:pPr>
              <w:widowControl/>
              <w:snapToGrid w:val="0"/>
              <w:jc w:val="center"/>
              <w:textAlignment w:val="center"/>
              <w:rPr>
                <w:rFonts w:cs="Calibri"/>
                <w:color w:val="000000"/>
                <w:sz w:val="16"/>
                <w:szCs w:val="16"/>
              </w:rPr>
            </w:pPr>
            <w:r>
              <w:rPr>
                <w:rFonts w:hint="eastAsia" w:cs="Calibri"/>
                <w:color w:val="000000"/>
                <w:kern w:val="0"/>
                <w:sz w:val="16"/>
                <w:szCs w:val="16"/>
                <w:lang w:bidi="ar"/>
              </w:rPr>
              <w:t>13</w:t>
            </w:r>
          </w:p>
        </w:tc>
        <w:tc>
          <w:tcPr>
            <w:tcW w:w="567" w:type="dxa"/>
            <w:tcBorders>
              <w:top w:val="single" w:color="auto" w:sz="4" w:space="0"/>
              <w:left w:val="single" w:color="000000" w:sz="4" w:space="0"/>
              <w:right w:val="single" w:color="000000" w:sz="4" w:space="0"/>
            </w:tcBorders>
            <w:shd w:val="clear" w:color="auto" w:fill="auto"/>
            <w:vAlign w:val="center"/>
          </w:tcPr>
          <w:p>
            <w:pPr>
              <w:snapToGrid w:val="0"/>
              <w:jc w:val="center"/>
              <w:rPr>
                <w:rFonts w:cs="Calibri"/>
                <w:color w:val="000000"/>
                <w:sz w:val="16"/>
                <w:szCs w:val="16"/>
              </w:rPr>
            </w:pPr>
          </w:p>
        </w:tc>
        <w:tc>
          <w:tcPr>
            <w:tcW w:w="709" w:type="dxa"/>
            <w:tcBorders>
              <w:top w:val="single" w:color="auto" w:sz="4" w:space="0"/>
              <w:left w:val="single" w:color="000000" w:sz="4" w:space="0"/>
              <w:right w:val="single" w:color="000000" w:sz="4" w:space="0"/>
            </w:tcBorders>
            <w:shd w:val="clear" w:color="auto" w:fill="auto"/>
            <w:vAlign w:val="center"/>
          </w:tcPr>
          <w:p>
            <w:pPr>
              <w:snapToGrid w:val="0"/>
              <w:jc w:val="center"/>
              <w:rPr>
                <w:rFonts w:cs="Calibri"/>
                <w:color w:val="000000"/>
                <w:sz w:val="16"/>
                <w:szCs w:val="16"/>
              </w:rPr>
            </w:pPr>
          </w:p>
        </w:tc>
        <w:tc>
          <w:tcPr>
            <w:tcW w:w="1304" w:type="dxa"/>
            <w:tcBorders>
              <w:top w:val="single" w:color="auto" w:sz="4" w:space="0"/>
              <w:left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网点对接消防主机，每个网点一套，预留扩展，必选设备，据实结算</w:t>
            </w:r>
          </w:p>
        </w:tc>
      </w:tr>
      <w:tr>
        <w:tblPrEx>
          <w:tblLayout w:type="fixed"/>
          <w:tblCellMar>
            <w:top w:w="15" w:type="dxa"/>
            <w:left w:w="15" w:type="dxa"/>
            <w:bottom w:w="15" w:type="dxa"/>
            <w:right w:w="15" w:type="dxa"/>
          </w:tblCellMar>
        </w:tblPrEx>
        <w:trPr>
          <w:trHeight w:val="2160"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535" w:type="dxa"/>
            <w:vMerge w:val="continue"/>
            <w:tcBorders>
              <w:left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582" w:type="dxa"/>
            <w:tcBorders>
              <w:top w:val="single" w:color="000000" w:sz="4" w:space="0"/>
              <w:left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并行处理机</w:t>
            </w:r>
          </w:p>
        </w:tc>
        <w:tc>
          <w:tcPr>
            <w:tcW w:w="5245" w:type="dxa"/>
            <w:gridSpan w:val="3"/>
            <w:tcBorders>
              <w:top w:val="single" w:color="000000" w:sz="4" w:space="0"/>
              <w:left w:val="single" w:color="000000" w:sz="4" w:space="0"/>
              <w:right w:val="single" w:color="000000" w:sz="4" w:space="0"/>
            </w:tcBorders>
            <w:shd w:val="clear" w:color="auto" w:fill="auto"/>
            <w:vAlign w:val="center"/>
          </w:tcPr>
          <w:p>
            <w:pPr>
              <w:widowControl/>
              <w:snapToGrid w:val="0"/>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通讯方式 RS-485通信和RS-232通信</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接口 并行26pin接口</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工作温度 -10 ~ 55 ℃</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工作湿度 5% ~ 95% RH（无凝露）</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供电电压 DC 12 V或DC 24 V</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重量 150 g</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防护等级 IP30</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执行标准 Q/HKD 016—202</w:t>
            </w:r>
          </w:p>
        </w:tc>
        <w:tc>
          <w:tcPr>
            <w:tcW w:w="567" w:type="dxa"/>
            <w:gridSpan w:val="2"/>
            <w:tcBorders>
              <w:top w:val="single" w:color="000000" w:sz="4" w:space="0"/>
              <w:left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套</w:t>
            </w:r>
          </w:p>
        </w:tc>
        <w:tc>
          <w:tcPr>
            <w:tcW w:w="567" w:type="dxa"/>
            <w:tcBorders>
              <w:top w:val="single" w:color="000000" w:sz="4" w:space="0"/>
              <w:left w:val="single" w:color="000000" w:sz="4" w:space="0"/>
              <w:right w:val="single" w:color="000000" w:sz="4" w:space="0"/>
            </w:tcBorders>
            <w:shd w:val="clear" w:color="auto" w:fill="auto"/>
            <w:vAlign w:val="center"/>
          </w:tcPr>
          <w:p>
            <w:pPr>
              <w:widowControl/>
              <w:snapToGrid w:val="0"/>
              <w:jc w:val="center"/>
              <w:textAlignment w:val="center"/>
              <w:rPr>
                <w:rFonts w:cs="Calibri"/>
                <w:color w:val="000000"/>
                <w:sz w:val="16"/>
                <w:szCs w:val="16"/>
              </w:rPr>
            </w:pPr>
            <w:r>
              <w:rPr>
                <w:rFonts w:cs="Calibri"/>
                <w:color w:val="000000"/>
                <w:kern w:val="0"/>
                <w:sz w:val="16"/>
                <w:szCs w:val="16"/>
                <w:lang w:bidi="ar"/>
              </w:rPr>
              <w:t>10</w:t>
            </w:r>
          </w:p>
        </w:tc>
        <w:tc>
          <w:tcPr>
            <w:tcW w:w="567" w:type="dxa"/>
            <w:tcBorders>
              <w:top w:val="single" w:color="000000" w:sz="4" w:space="0"/>
              <w:left w:val="single" w:color="000000" w:sz="4" w:space="0"/>
              <w:right w:val="single" w:color="000000" w:sz="4" w:space="0"/>
            </w:tcBorders>
            <w:shd w:val="clear" w:color="auto" w:fill="auto"/>
            <w:vAlign w:val="center"/>
          </w:tcPr>
          <w:p>
            <w:pPr>
              <w:snapToGrid w:val="0"/>
              <w:jc w:val="center"/>
              <w:rPr>
                <w:rFonts w:cs="Calibri"/>
                <w:color w:val="000000"/>
                <w:sz w:val="16"/>
                <w:szCs w:val="16"/>
              </w:rPr>
            </w:pPr>
          </w:p>
        </w:tc>
        <w:tc>
          <w:tcPr>
            <w:tcW w:w="709" w:type="dxa"/>
            <w:tcBorders>
              <w:top w:val="single" w:color="000000" w:sz="4" w:space="0"/>
              <w:left w:val="single" w:color="000000" w:sz="4" w:space="0"/>
              <w:right w:val="single" w:color="000000" w:sz="4" w:space="0"/>
            </w:tcBorders>
            <w:shd w:val="clear" w:color="auto" w:fill="auto"/>
            <w:vAlign w:val="center"/>
          </w:tcPr>
          <w:p>
            <w:pPr>
              <w:snapToGrid w:val="0"/>
              <w:jc w:val="center"/>
              <w:rPr>
                <w:rFonts w:cs="Calibri"/>
                <w:color w:val="000000"/>
                <w:sz w:val="16"/>
                <w:szCs w:val="16"/>
              </w:rPr>
            </w:pPr>
          </w:p>
        </w:tc>
        <w:tc>
          <w:tcPr>
            <w:tcW w:w="1304" w:type="dxa"/>
            <w:tcBorders>
              <w:top w:val="single" w:color="000000" w:sz="4" w:space="0"/>
              <w:left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有些消防主机需要此模块才能连接，选配设备</w:t>
            </w:r>
          </w:p>
        </w:tc>
      </w:tr>
      <w:tr>
        <w:tblPrEx>
          <w:tblLayout w:type="fixed"/>
          <w:tblCellMar>
            <w:top w:w="15" w:type="dxa"/>
            <w:left w:w="15" w:type="dxa"/>
            <w:bottom w:w="15" w:type="dxa"/>
            <w:right w:w="15" w:type="dxa"/>
          </w:tblCellMar>
        </w:tblPrEx>
        <w:trPr>
          <w:trHeight w:val="285" w:hRule="atLeast"/>
        </w:trPr>
        <w:tc>
          <w:tcPr>
            <w:tcW w:w="55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b/>
                <w:color w:val="000000"/>
                <w:sz w:val="16"/>
                <w:szCs w:val="16"/>
              </w:rPr>
            </w:pPr>
            <w:r>
              <w:rPr>
                <w:rFonts w:hint="eastAsia" w:ascii="微软雅黑" w:hAnsi="微软雅黑" w:eastAsia="微软雅黑" w:cs="微软雅黑"/>
                <w:b/>
                <w:color w:val="000000"/>
                <w:kern w:val="0"/>
                <w:sz w:val="16"/>
                <w:szCs w:val="16"/>
                <w:lang w:bidi="ar"/>
              </w:rPr>
              <w:t>A1</w:t>
            </w:r>
          </w:p>
        </w:tc>
        <w:tc>
          <w:tcPr>
            <w:tcW w:w="7111" w:type="dxa"/>
            <w:gridSpan w:val="6"/>
            <w:tcBorders>
              <w:top w:val="single" w:color="000000" w:sz="4" w:space="0"/>
              <w:left w:val="single" w:color="000000" w:sz="4" w:space="0"/>
              <w:bottom w:val="single" w:color="auto" w:sz="4" w:space="0"/>
              <w:right w:val="single" w:color="000000" w:sz="4" w:space="0"/>
            </w:tcBorders>
            <w:shd w:val="clear" w:color="auto" w:fill="auto"/>
            <w:vAlign w:val="center"/>
          </w:tcPr>
          <w:p>
            <w:pPr>
              <w:snapToGrid w:val="0"/>
              <w:jc w:val="left"/>
              <w:rPr>
                <w:rFonts w:ascii="微软雅黑" w:hAnsi="微软雅黑" w:eastAsia="微软雅黑" w:cs="微软雅黑"/>
                <w:b/>
                <w:color w:val="000000"/>
                <w:sz w:val="16"/>
                <w:szCs w:val="16"/>
              </w:rPr>
            </w:pPr>
            <w:r>
              <w:rPr>
                <w:rFonts w:hint="eastAsia" w:ascii="微软雅黑" w:hAnsi="微软雅黑" w:eastAsia="微软雅黑" w:cs="微软雅黑"/>
                <w:b/>
                <w:color w:val="000000"/>
                <w:kern w:val="0"/>
                <w:sz w:val="16"/>
                <w:szCs w:val="16"/>
                <w:lang w:bidi="ar"/>
              </w:rPr>
              <w:t>设备小计：</w:t>
            </w:r>
          </w:p>
        </w:tc>
        <w:tc>
          <w:tcPr>
            <w:tcW w:w="567"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snapToGrid w:val="0"/>
              <w:jc w:val="center"/>
              <w:rPr>
                <w:rFonts w:ascii="宋体" w:hAnsi="宋体" w:cs="宋体"/>
                <w:b/>
                <w:color w:val="000000"/>
                <w:sz w:val="16"/>
                <w:szCs w:val="16"/>
              </w:rPr>
            </w:pPr>
          </w:p>
        </w:tc>
        <w:tc>
          <w:tcPr>
            <w:tcW w:w="567" w:type="dxa"/>
            <w:tcBorders>
              <w:top w:val="single" w:color="000000" w:sz="4" w:space="0"/>
              <w:left w:val="single" w:color="000000" w:sz="4" w:space="0"/>
              <w:bottom w:val="single" w:color="auto" w:sz="4" w:space="0"/>
              <w:right w:val="single" w:color="000000" w:sz="4" w:space="0"/>
            </w:tcBorders>
            <w:shd w:val="clear" w:color="auto" w:fill="auto"/>
            <w:vAlign w:val="center"/>
          </w:tcPr>
          <w:p>
            <w:pPr>
              <w:snapToGrid w:val="0"/>
              <w:jc w:val="center"/>
              <w:rPr>
                <w:rFonts w:cs="Calibri"/>
                <w:b/>
                <w:color w:val="000000"/>
                <w:sz w:val="16"/>
                <w:szCs w:val="16"/>
              </w:rPr>
            </w:pPr>
          </w:p>
        </w:tc>
        <w:tc>
          <w:tcPr>
            <w:tcW w:w="567" w:type="dxa"/>
            <w:tcBorders>
              <w:top w:val="single" w:color="000000" w:sz="4" w:space="0"/>
              <w:left w:val="single" w:color="000000" w:sz="4" w:space="0"/>
              <w:bottom w:val="single" w:color="auto" w:sz="4" w:space="0"/>
              <w:right w:val="single" w:color="000000" w:sz="4" w:space="0"/>
            </w:tcBorders>
            <w:shd w:val="clear" w:color="auto" w:fill="auto"/>
            <w:vAlign w:val="center"/>
          </w:tcPr>
          <w:p>
            <w:pPr>
              <w:snapToGrid w:val="0"/>
              <w:jc w:val="center"/>
              <w:rPr>
                <w:rFonts w:cs="Calibri"/>
                <w:b/>
                <w:color w:val="000000"/>
                <w:sz w:val="16"/>
                <w:szCs w:val="16"/>
              </w:rPr>
            </w:pPr>
          </w:p>
        </w:tc>
        <w:tc>
          <w:tcPr>
            <w:tcW w:w="709" w:type="dxa"/>
            <w:tcBorders>
              <w:top w:val="single" w:color="000000" w:sz="4" w:space="0"/>
              <w:left w:val="single" w:color="000000" w:sz="4" w:space="0"/>
              <w:bottom w:val="single" w:color="auto" w:sz="4" w:space="0"/>
              <w:right w:val="single" w:color="000000" w:sz="4" w:space="0"/>
            </w:tcBorders>
            <w:shd w:val="clear" w:color="auto" w:fill="auto"/>
            <w:vAlign w:val="center"/>
          </w:tcPr>
          <w:p>
            <w:pPr>
              <w:snapToGrid w:val="0"/>
              <w:jc w:val="center"/>
              <w:rPr>
                <w:rFonts w:cs="Calibri"/>
                <w:b/>
                <w:color w:val="000000"/>
                <w:sz w:val="16"/>
                <w:szCs w:val="16"/>
              </w:rPr>
            </w:pPr>
          </w:p>
        </w:tc>
        <w:tc>
          <w:tcPr>
            <w:tcW w:w="1304" w:type="dxa"/>
            <w:tcBorders>
              <w:top w:val="single" w:color="000000" w:sz="4" w:space="0"/>
              <w:left w:val="single" w:color="000000" w:sz="4" w:space="0"/>
              <w:bottom w:val="single" w:color="auto" w:sz="4" w:space="0"/>
              <w:right w:val="single" w:color="000000" w:sz="4" w:space="0"/>
            </w:tcBorders>
            <w:shd w:val="clear" w:color="auto" w:fill="auto"/>
            <w:vAlign w:val="center"/>
          </w:tcPr>
          <w:p>
            <w:pPr>
              <w:snapToGrid w:val="0"/>
              <w:jc w:val="left"/>
              <w:rPr>
                <w:rFonts w:ascii="宋体" w:hAnsi="宋体" w:cs="宋体"/>
                <w:b/>
                <w:color w:val="FF0000"/>
                <w:sz w:val="16"/>
                <w:szCs w:val="16"/>
              </w:rPr>
            </w:pPr>
          </w:p>
        </w:tc>
      </w:tr>
      <w:tr>
        <w:tblPrEx>
          <w:tblLayout w:type="fixed"/>
          <w:tblCellMar>
            <w:top w:w="15" w:type="dxa"/>
            <w:left w:w="15" w:type="dxa"/>
            <w:bottom w:w="15" w:type="dxa"/>
            <w:right w:w="15" w:type="dxa"/>
          </w:tblCellMar>
        </w:tblPrEx>
        <w:trPr>
          <w:trHeight w:val="2490" w:hRule="atLeast"/>
        </w:trPr>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10</w:t>
            </w:r>
          </w:p>
        </w:tc>
        <w:tc>
          <w:tcPr>
            <w:tcW w:w="7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综合安防管理平台</w:t>
            </w:r>
          </w:p>
        </w:tc>
        <w:tc>
          <w:tcPr>
            <w:tcW w:w="5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系统管理</w:t>
            </w:r>
          </w:p>
        </w:tc>
        <w:tc>
          <w:tcPr>
            <w:tcW w:w="52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系统最大安保区域数量：2万。</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系统最大组织数量：2万。</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系统最大用户数量：20万。</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系统最大同时在线用户数量：5000。</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系统最大角色数量：1万。</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系统最大人员数量：30万。</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卡片数量：30万。</w:t>
            </w:r>
          </w:p>
        </w:tc>
        <w:tc>
          <w:tcPr>
            <w:tcW w:w="5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提供系统内的组织、人员、车辆、用户、角色、认证、区域等的配置和管理。已包含：图上监控、事件联动、视频网管。</w:t>
            </w:r>
          </w:p>
        </w:tc>
      </w:tr>
      <w:tr>
        <w:tblPrEx>
          <w:tblLayout w:type="fixed"/>
          <w:tblCellMar>
            <w:top w:w="15" w:type="dxa"/>
            <w:left w:w="15" w:type="dxa"/>
            <w:bottom w:w="15" w:type="dxa"/>
            <w:right w:w="15" w:type="dxa"/>
          </w:tblCellMar>
        </w:tblPrEx>
        <w:trPr>
          <w:trHeight w:val="5928" w:hRule="atLeast"/>
        </w:trPr>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11</w:t>
            </w:r>
          </w:p>
        </w:tc>
        <w:tc>
          <w:tcPr>
            <w:tcW w:w="7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5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视频监控</w:t>
            </w:r>
          </w:p>
        </w:tc>
        <w:tc>
          <w:tcPr>
            <w:tcW w:w="52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1、支持监控点数量10W个（超过5000需要分布式部署）；</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2、支持并发取流带宽2000M（超过600M需要分布式部署） ；</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3、解码能力：在i7、GTX1070的PC上，解码H264、720P的视频36路；</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3、支持电视墙最大场景数128个；</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4、单个电视墙最大支持数量25*25个；</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5、单个窗口最大分割数量16个。</w:t>
            </w:r>
          </w:p>
        </w:tc>
        <w:tc>
          <w:tcPr>
            <w:tcW w:w="5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路</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2000</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视频监控应用提供视频管理服务，支持编码设备通过设备网络SDK协议、Ehome协议、ISUP5.0协议、GB28181协议、ONVIF协议、大华设备网络SDK协议、萤石协议接入平台，实现视频预览、录像回放、视频上墙、视频事件监控服务能力，并且在网络带宽不足、有流量限制的网络环境下可以通过以图片替代视频的模式提供监控服务。</w:t>
            </w:r>
          </w:p>
        </w:tc>
      </w:tr>
      <w:tr>
        <w:tblPrEx>
          <w:tblLayout w:type="fixed"/>
          <w:tblCellMar>
            <w:top w:w="15" w:type="dxa"/>
            <w:left w:w="15" w:type="dxa"/>
            <w:bottom w:w="15" w:type="dxa"/>
            <w:right w:w="15" w:type="dxa"/>
          </w:tblCellMar>
        </w:tblPrEx>
        <w:trPr>
          <w:trHeight w:val="4238" w:hRule="atLeast"/>
        </w:trPr>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12</w:t>
            </w:r>
          </w:p>
        </w:tc>
        <w:tc>
          <w:tcPr>
            <w:tcW w:w="7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5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门禁管理</w:t>
            </w:r>
          </w:p>
        </w:tc>
        <w:tc>
          <w:tcPr>
            <w:tcW w:w="52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1、支持最大门禁点数量2万个；</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2、门禁权限下发的性能（单个门禁点）：</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卡片：15-35张/秒；</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人脸：1-2张/秒；</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人脸模型：100张/秒；（依赖中心建模服务器）；</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3、权限并发下载路数：单台服务器100路，最大可扩展至1000路；</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4、门禁事件处理（单台服务器）：</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带图片：100条/秒；</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不带图片：1000条/秒；</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5、事件最大存储数量：5000万条。</w:t>
            </w:r>
          </w:p>
        </w:tc>
        <w:tc>
          <w:tcPr>
            <w:tcW w:w="5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门</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150</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基础门禁管理通过接入多种门禁设备，利用卡片、人脸、指纹介质，实现人员身份识别、出入管控等智能应用，主要提供门禁权限管理、事件管理、门禁状态查看、门禁远程控制、人员出入记录实时展示含150路路数授权</w:t>
            </w:r>
          </w:p>
        </w:tc>
      </w:tr>
      <w:tr>
        <w:tblPrEx>
          <w:tblLayout w:type="fixed"/>
          <w:tblCellMar>
            <w:top w:w="15" w:type="dxa"/>
            <w:left w:w="15" w:type="dxa"/>
            <w:bottom w:w="15" w:type="dxa"/>
            <w:right w:w="15" w:type="dxa"/>
          </w:tblCellMar>
        </w:tblPrEx>
        <w:trPr>
          <w:trHeight w:val="1084" w:hRule="atLeast"/>
        </w:trPr>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13</w:t>
            </w:r>
          </w:p>
        </w:tc>
        <w:tc>
          <w:tcPr>
            <w:tcW w:w="7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5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IP对讲</w:t>
            </w:r>
          </w:p>
        </w:tc>
        <w:tc>
          <w:tcPr>
            <w:tcW w:w="52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1、支持报警盒、管理机、虚拟对讲终端、电话网关资源的统一管理；支持通过以主动发现方式添加IP对讲设备到平台；</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2、支持配置报警盒的呼叫顺序；支持同步报警盒的信息到管理机。</w:t>
            </w:r>
          </w:p>
        </w:tc>
        <w:tc>
          <w:tcPr>
            <w:tcW w:w="5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路</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200</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含200路路数授权</w:t>
            </w:r>
          </w:p>
        </w:tc>
      </w:tr>
      <w:tr>
        <w:tblPrEx>
          <w:tblLayout w:type="fixed"/>
          <w:tblCellMar>
            <w:top w:w="15" w:type="dxa"/>
            <w:left w:w="15" w:type="dxa"/>
            <w:bottom w:w="15" w:type="dxa"/>
            <w:right w:w="15" w:type="dxa"/>
          </w:tblCellMar>
        </w:tblPrEx>
        <w:trPr>
          <w:trHeight w:val="1080" w:hRule="atLeast"/>
        </w:trPr>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14</w:t>
            </w:r>
          </w:p>
        </w:tc>
        <w:tc>
          <w:tcPr>
            <w:tcW w:w="7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5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入侵报警</w:t>
            </w:r>
          </w:p>
        </w:tc>
        <w:tc>
          <w:tcPr>
            <w:tcW w:w="52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1、支持报警主机管理数量：10000；</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2、支持管理最大防区数量：50000；</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3、支持报警记录最大存储数量100W条。</w:t>
            </w:r>
          </w:p>
        </w:tc>
        <w:tc>
          <w:tcPr>
            <w:tcW w:w="5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路</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1200</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含1200路路数授权品牌：、博士、霍尼韦尔、英安特</w:t>
            </w:r>
          </w:p>
        </w:tc>
      </w:tr>
      <w:tr>
        <w:tblPrEx>
          <w:tblLayout w:type="fixed"/>
          <w:tblCellMar>
            <w:top w:w="15" w:type="dxa"/>
            <w:left w:w="15" w:type="dxa"/>
            <w:bottom w:w="15" w:type="dxa"/>
            <w:right w:w="15" w:type="dxa"/>
          </w:tblCellMar>
        </w:tblPrEx>
        <w:trPr>
          <w:trHeight w:val="2345" w:hRule="atLeast"/>
        </w:trPr>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15</w:t>
            </w:r>
          </w:p>
        </w:tc>
        <w:tc>
          <w:tcPr>
            <w:tcW w:w="7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5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ascii="微软雅黑" w:hAnsi="微软雅黑" w:eastAsia="微软雅黑" w:cs="微软雅黑"/>
                <w:color w:val="000000"/>
                <w:sz w:val="16"/>
                <w:szCs w:val="16"/>
              </w:rPr>
            </w:pP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设备网络管理</w:t>
            </w:r>
          </w:p>
        </w:tc>
        <w:tc>
          <w:tcPr>
            <w:tcW w:w="52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1、单节点在线状态巡检效率不低于1000路/小时；</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2、单节点录像情况巡检效率不低于1000路/小时；</w:t>
            </w:r>
          </w:p>
        </w:tc>
        <w:tc>
          <w:tcPr>
            <w:tcW w:w="5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路</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3550</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设备网络管理应用，对接入平台的视频设备，门禁设备，报警主机设备，可视对讲设备进行在线巡检，及时发现故障设备和掉线设备，使运维工作更加高效</w:t>
            </w:r>
          </w:p>
        </w:tc>
      </w:tr>
      <w:tr>
        <w:tblPrEx>
          <w:tblLayout w:type="fixed"/>
          <w:tblCellMar>
            <w:top w:w="15" w:type="dxa"/>
            <w:left w:w="15" w:type="dxa"/>
            <w:bottom w:w="15" w:type="dxa"/>
            <w:right w:w="15" w:type="dxa"/>
          </w:tblCellMar>
        </w:tblPrEx>
        <w:trPr>
          <w:trHeight w:val="1620" w:hRule="atLeast"/>
        </w:trPr>
        <w:tc>
          <w:tcPr>
            <w:tcW w:w="55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16</w:t>
            </w:r>
          </w:p>
        </w:tc>
        <w:tc>
          <w:tcPr>
            <w:tcW w:w="749" w:type="dxa"/>
            <w:vMerge w:val="continue"/>
            <w:tcBorders>
              <w:top w:val="single" w:color="auto" w:sz="4" w:space="0"/>
              <w:left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535" w:type="dxa"/>
            <w:tcBorders>
              <w:top w:val="single" w:color="auto" w:sz="4" w:space="0"/>
              <w:left w:val="single" w:color="000000" w:sz="4" w:space="0"/>
              <w:bottom w:val="single" w:color="000000" w:sz="4" w:space="0"/>
              <w:right w:val="single" w:color="000000" w:sz="4" w:space="0"/>
            </w:tcBorders>
            <w:shd w:val="clear" w:color="auto" w:fill="auto"/>
            <w:vAlign w:val="center"/>
          </w:tcPr>
          <w:p>
            <w:pPr>
              <w:snapToGrid w:val="0"/>
              <w:jc w:val="left"/>
              <w:rPr>
                <w:rFonts w:ascii="微软雅黑" w:hAnsi="微软雅黑" w:eastAsia="微软雅黑" w:cs="微软雅黑"/>
                <w:color w:val="000000"/>
                <w:sz w:val="16"/>
                <w:szCs w:val="16"/>
              </w:rPr>
            </w:pPr>
          </w:p>
        </w:tc>
        <w:tc>
          <w:tcPr>
            <w:tcW w:w="58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火灾报警监测</w:t>
            </w:r>
          </w:p>
        </w:tc>
        <w:tc>
          <w:tcPr>
            <w:tcW w:w="5245"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 xml:space="preserve">1、按照前端路数限制，不需要选择设备 示例1：项目有1个用传、50个烟感50个手报；路数选择100； 示例2：项目有1个LORA网关、3个烟感、3个手报；路数选择6 </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2、支持的设备有用户信息传输装置、火灾报警控制器、NB烟感及其前端设备接入</w:t>
            </w:r>
          </w:p>
        </w:tc>
        <w:tc>
          <w:tcPr>
            <w:tcW w:w="567"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路</w:t>
            </w:r>
          </w:p>
        </w:tc>
        <w:tc>
          <w:tcPr>
            <w:tcW w:w="56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1000</w:t>
            </w:r>
          </w:p>
        </w:tc>
        <w:tc>
          <w:tcPr>
            <w:tcW w:w="567" w:type="dxa"/>
            <w:tcBorders>
              <w:top w:val="single" w:color="auto" w:sz="4" w:space="0"/>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709" w:type="dxa"/>
            <w:tcBorders>
              <w:top w:val="single" w:color="auto" w:sz="4" w:space="0"/>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1304"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b/>
                <w:color w:val="FF0000"/>
                <w:sz w:val="18"/>
                <w:szCs w:val="18"/>
              </w:rPr>
            </w:pPr>
            <w:r>
              <w:rPr>
                <w:rFonts w:hint="eastAsia" w:ascii="微软雅黑" w:hAnsi="微软雅黑" w:eastAsia="微软雅黑" w:cs="微软雅黑"/>
                <w:b/>
                <w:color w:val="FF0000"/>
                <w:kern w:val="0"/>
                <w:sz w:val="18"/>
                <w:szCs w:val="18"/>
                <w:lang w:bidi="ar"/>
              </w:rPr>
              <w:t>智慧消防软件模块，可接入原有消控主机进行联网、可接入智慧用电设备</w:t>
            </w:r>
          </w:p>
        </w:tc>
      </w:tr>
      <w:tr>
        <w:tblPrEx>
          <w:tblLayout w:type="fixed"/>
          <w:tblCellMar>
            <w:top w:w="15" w:type="dxa"/>
            <w:left w:w="15" w:type="dxa"/>
            <w:bottom w:w="15" w:type="dxa"/>
            <w:right w:w="15" w:type="dxa"/>
          </w:tblCellMar>
        </w:tblPrEx>
        <w:trPr>
          <w:trHeight w:val="81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17</w:t>
            </w:r>
          </w:p>
        </w:tc>
        <w:tc>
          <w:tcPr>
            <w:tcW w:w="749" w:type="dxa"/>
            <w:vMerge w:val="continue"/>
            <w:tcBorders>
              <w:top w:val="single" w:color="000000" w:sz="4" w:space="0"/>
              <w:left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微软雅黑" w:hAnsi="微软雅黑" w:eastAsia="微软雅黑" w:cs="微软雅黑"/>
                <w:color w:val="000000"/>
                <w:sz w:val="16"/>
                <w:szCs w:val="16"/>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消防视频水电气监测</w:t>
            </w:r>
          </w:p>
        </w:tc>
        <w:tc>
          <w:tcPr>
            <w:tcW w:w="52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支持对视频图像火灾报警监测、可燃气体监测（NB燃气、433燃气）、电气火灾监测、消防水系统监测、灭火器监测、充电桩监测</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套</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微软雅黑" w:hAnsi="微软雅黑" w:eastAsia="微软雅黑" w:cs="微软雅黑"/>
                <w:b/>
                <w:color w:val="FF0000"/>
                <w:sz w:val="18"/>
                <w:szCs w:val="18"/>
              </w:rPr>
            </w:pPr>
          </w:p>
        </w:tc>
      </w:tr>
      <w:tr>
        <w:tblPrEx>
          <w:tblLayout w:type="fixed"/>
          <w:tblCellMar>
            <w:top w:w="15" w:type="dxa"/>
            <w:left w:w="15" w:type="dxa"/>
            <w:bottom w:w="15" w:type="dxa"/>
            <w:right w:w="15" w:type="dxa"/>
          </w:tblCellMar>
        </w:tblPrEx>
        <w:trPr>
          <w:trHeight w:val="54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18</w:t>
            </w:r>
          </w:p>
        </w:tc>
        <w:tc>
          <w:tcPr>
            <w:tcW w:w="749" w:type="dxa"/>
            <w:vMerge w:val="continue"/>
            <w:tcBorders>
              <w:top w:val="single" w:color="000000" w:sz="4" w:space="0"/>
              <w:left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微软雅黑" w:hAnsi="微软雅黑" w:eastAsia="微软雅黑" w:cs="微软雅黑"/>
                <w:color w:val="000000"/>
                <w:sz w:val="16"/>
                <w:szCs w:val="16"/>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消防工作台</w:t>
            </w:r>
          </w:p>
        </w:tc>
        <w:tc>
          <w:tcPr>
            <w:tcW w:w="52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控制消防工作台模块，消控室工作人员在工作台中可查看报警预警信息并进行处理</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套</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微软雅黑" w:hAnsi="微软雅黑" w:eastAsia="微软雅黑" w:cs="微软雅黑"/>
                <w:b/>
                <w:color w:val="FF0000"/>
                <w:sz w:val="18"/>
                <w:szCs w:val="18"/>
              </w:rPr>
            </w:pPr>
          </w:p>
        </w:tc>
      </w:tr>
      <w:tr>
        <w:tblPrEx>
          <w:tblLayout w:type="fixed"/>
          <w:tblCellMar>
            <w:top w:w="15" w:type="dxa"/>
            <w:left w:w="15" w:type="dxa"/>
            <w:bottom w:w="15" w:type="dxa"/>
            <w:right w:w="15" w:type="dxa"/>
          </w:tblCellMar>
        </w:tblPrEx>
        <w:trPr>
          <w:trHeight w:val="285" w:hRule="atLeast"/>
        </w:trPr>
        <w:tc>
          <w:tcPr>
            <w:tcW w:w="559" w:type="dxa"/>
            <w:tcBorders>
              <w:top w:val="single" w:color="000000" w:sz="4" w:space="0"/>
              <w:left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19</w:t>
            </w:r>
          </w:p>
        </w:tc>
        <w:tc>
          <w:tcPr>
            <w:tcW w:w="749" w:type="dxa"/>
            <w:vMerge w:val="continue"/>
            <w:tcBorders>
              <w:top w:val="single" w:color="000000" w:sz="4" w:space="0"/>
              <w:left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535" w:type="dxa"/>
            <w:tcBorders>
              <w:top w:val="single" w:color="000000" w:sz="4" w:space="0"/>
              <w:left w:val="single" w:color="000000" w:sz="4" w:space="0"/>
              <w:right w:val="single" w:color="000000" w:sz="4" w:space="0"/>
            </w:tcBorders>
            <w:shd w:val="clear" w:color="auto" w:fill="auto"/>
            <w:vAlign w:val="center"/>
          </w:tcPr>
          <w:p>
            <w:pPr>
              <w:snapToGrid w:val="0"/>
              <w:jc w:val="left"/>
              <w:rPr>
                <w:rFonts w:ascii="微软雅黑" w:hAnsi="微软雅黑" w:eastAsia="微软雅黑" w:cs="微软雅黑"/>
                <w:color w:val="000000"/>
                <w:sz w:val="16"/>
                <w:szCs w:val="16"/>
              </w:rPr>
            </w:pPr>
          </w:p>
        </w:tc>
        <w:tc>
          <w:tcPr>
            <w:tcW w:w="582" w:type="dxa"/>
            <w:tcBorders>
              <w:top w:val="single" w:color="000000" w:sz="4" w:space="0"/>
              <w:left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消防设备网关</w:t>
            </w:r>
          </w:p>
        </w:tc>
        <w:tc>
          <w:tcPr>
            <w:tcW w:w="5245" w:type="dxa"/>
            <w:gridSpan w:val="3"/>
            <w:tcBorders>
              <w:top w:val="single" w:color="000000" w:sz="4" w:space="0"/>
              <w:left w:val="single" w:color="000000" w:sz="4" w:space="0"/>
              <w:right w:val="single" w:color="000000" w:sz="4" w:space="0"/>
            </w:tcBorders>
            <w:shd w:val="clear" w:color="auto" w:fill="auto"/>
            <w:vAlign w:val="center"/>
          </w:tcPr>
          <w:p>
            <w:pPr>
              <w:widowControl/>
              <w:snapToGrid w:val="0"/>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对消防的设备网络、故障等信息进行管理</w:t>
            </w:r>
          </w:p>
        </w:tc>
        <w:tc>
          <w:tcPr>
            <w:tcW w:w="567" w:type="dxa"/>
            <w:gridSpan w:val="2"/>
            <w:tcBorders>
              <w:top w:val="single" w:color="000000" w:sz="4" w:space="0"/>
              <w:left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套</w:t>
            </w:r>
          </w:p>
        </w:tc>
        <w:tc>
          <w:tcPr>
            <w:tcW w:w="567" w:type="dxa"/>
            <w:tcBorders>
              <w:top w:val="single" w:color="000000" w:sz="4" w:space="0"/>
              <w:left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w:t>
            </w:r>
          </w:p>
        </w:tc>
        <w:tc>
          <w:tcPr>
            <w:tcW w:w="567" w:type="dxa"/>
            <w:tcBorders>
              <w:top w:val="single" w:color="000000" w:sz="4" w:space="0"/>
              <w:left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709" w:type="dxa"/>
            <w:tcBorders>
              <w:top w:val="single" w:color="000000" w:sz="4" w:space="0"/>
              <w:left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微软雅黑" w:hAnsi="微软雅黑" w:eastAsia="微软雅黑" w:cs="微软雅黑"/>
                <w:b/>
                <w:color w:val="FF0000"/>
                <w:sz w:val="18"/>
                <w:szCs w:val="18"/>
              </w:rPr>
            </w:pPr>
          </w:p>
        </w:tc>
      </w:tr>
      <w:tr>
        <w:tblPrEx>
          <w:tblLayout w:type="fixed"/>
          <w:tblCellMar>
            <w:top w:w="15" w:type="dxa"/>
            <w:left w:w="15" w:type="dxa"/>
            <w:bottom w:w="15" w:type="dxa"/>
            <w:right w:w="15" w:type="dxa"/>
          </w:tblCellMar>
        </w:tblPrEx>
        <w:trPr>
          <w:trHeight w:val="162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20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平台预留接口功能</w:t>
            </w:r>
          </w:p>
        </w:tc>
        <w:tc>
          <w:tcPr>
            <w:tcW w:w="5245"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napToGrid w:val="0"/>
              <w:textAlignment w:val="bottom"/>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需预留安保信息化管理（资产管理、检查考核、组织信息管理、合同管理）、智能巡检系统（巡检管理及任务统计）、电子地图、培训考试、行为分析、访客系统、应急管理、交接班、款箱交接、业务库以及防爆安全检查系统等扩展接口，启用这些扩展功能，需额外付费。</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套</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color w:val="000000"/>
                <w:sz w:val="16"/>
                <w:szCs w:val="16"/>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微软雅黑" w:hAnsi="微软雅黑" w:eastAsia="微软雅黑" w:cs="微软雅黑"/>
                <w:color w:val="000000"/>
                <w:sz w:val="18"/>
                <w:szCs w:val="18"/>
              </w:rPr>
            </w:pPr>
          </w:p>
        </w:tc>
      </w:tr>
      <w:tr>
        <w:tblPrEx>
          <w:tblLayout w:type="fixed"/>
          <w:tblCellMar>
            <w:top w:w="15" w:type="dxa"/>
            <w:left w:w="15" w:type="dxa"/>
            <w:bottom w:w="15" w:type="dxa"/>
            <w:right w:w="15" w:type="dxa"/>
          </w:tblCellMar>
        </w:tblPrEx>
        <w:trPr>
          <w:trHeight w:val="413" w:hRule="atLeast"/>
        </w:trPr>
        <w:tc>
          <w:tcPr>
            <w:tcW w:w="559" w:type="dxa"/>
            <w:tcBorders>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b/>
                <w:color w:val="000000"/>
                <w:sz w:val="16"/>
                <w:szCs w:val="16"/>
              </w:rPr>
            </w:pPr>
            <w:r>
              <w:rPr>
                <w:rFonts w:hint="eastAsia" w:ascii="微软雅黑" w:hAnsi="微软雅黑" w:eastAsia="微软雅黑" w:cs="微软雅黑"/>
                <w:b/>
                <w:color w:val="000000"/>
                <w:kern w:val="0"/>
                <w:sz w:val="16"/>
                <w:szCs w:val="16"/>
                <w:lang w:bidi="ar"/>
              </w:rPr>
              <w:t>A2</w:t>
            </w:r>
          </w:p>
        </w:tc>
        <w:tc>
          <w:tcPr>
            <w:tcW w:w="7111" w:type="dxa"/>
            <w:gridSpan w:val="6"/>
            <w:tcBorders>
              <w:left w:val="single" w:color="000000" w:sz="4" w:space="0"/>
              <w:bottom w:val="single" w:color="000000" w:sz="4" w:space="0"/>
              <w:right w:val="single" w:color="000000" w:sz="4" w:space="0"/>
            </w:tcBorders>
            <w:shd w:val="clear" w:color="auto" w:fill="auto"/>
            <w:vAlign w:val="center"/>
          </w:tcPr>
          <w:p>
            <w:pPr>
              <w:snapToGrid w:val="0"/>
              <w:jc w:val="left"/>
              <w:rPr>
                <w:rFonts w:ascii="微软雅黑" w:hAnsi="微软雅黑" w:eastAsia="微软雅黑" w:cs="微软雅黑"/>
                <w:b/>
                <w:color w:val="000000"/>
                <w:sz w:val="16"/>
                <w:szCs w:val="16"/>
              </w:rPr>
            </w:pPr>
            <w:r>
              <w:rPr>
                <w:rFonts w:hint="eastAsia" w:ascii="微软雅黑" w:hAnsi="微软雅黑" w:eastAsia="微软雅黑" w:cs="微软雅黑"/>
                <w:b/>
                <w:color w:val="000000"/>
                <w:kern w:val="0"/>
                <w:sz w:val="16"/>
                <w:szCs w:val="16"/>
                <w:lang w:bidi="ar"/>
              </w:rPr>
              <w:t>平台费用小计：</w:t>
            </w:r>
          </w:p>
        </w:tc>
        <w:tc>
          <w:tcPr>
            <w:tcW w:w="567" w:type="dxa"/>
            <w:gridSpan w:val="2"/>
            <w:tcBorders>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b/>
                <w:color w:val="000000"/>
                <w:sz w:val="16"/>
                <w:szCs w:val="16"/>
              </w:rPr>
            </w:pPr>
          </w:p>
        </w:tc>
        <w:tc>
          <w:tcPr>
            <w:tcW w:w="567" w:type="dxa"/>
            <w:tcBorders>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b/>
                <w:color w:val="000000"/>
                <w:sz w:val="16"/>
                <w:szCs w:val="16"/>
              </w:rPr>
            </w:pPr>
          </w:p>
        </w:tc>
        <w:tc>
          <w:tcPr>
            <w:tcW w:w="567" w:type="dxa"/>
            <w:tcBorders>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b/>
                <w:color w:val="000000"/>
                <w:sz w:val="16"/>
                <w:szCs w:val="16"/>
              </w:rPr>
            </w:pPr>
          </w:p>
        </w:tc>
        <w:tc>
          <w:tcPr>
            <w:tcW w:w="709" w:type="dxa"/>
            <w:tcBorders>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b/>
                <w:color w:val="000000"/>
                <w:sz w:val="16"/>
                <w:szCs w:val="16"/>
              </w:rPr>
            </w:pPr>
          </w:p>
        </w:tc>
        <w:tc>
          <w:tcPr>
            <w:tcW w:w="1304" w:type="dxa"/>
            <w:tcBorders>
              <w:left w:val="single" w:color="000000" w:sz="4" w:space="0"/>
              <w:bottom w:val="single" w:color="000000" w:sz="4" w:space="0"/>
              <w:right w:val="single" w:color="000000" w:sz="4" w:space="0"/>
            </w:tcBorders>
            <w:shd w:val="clear" w:color="auto" w:fill="auto"/>
            <w:vAlign w:val="center"/>
          </w:tcPr>
          <w:p>
            <w:pPr>
              <w:snapToGrid w:val="0"/>
              <w:jc w:val="left"/>
              <w:rPr>
                <w:rFonts w:ascii="微软雅黑" w:hAnsi="微软雅黑" w:eastAsia="微软雅黑" w:cs="微软雅黑"/>
                <w:color w:val="FF0000"/>
                <w:sz w:val="18"/>
                <w:szCs w:val="18"/>
              </w:rPr>
            </w:pPr>
          </w:p>
        </w:tc>
      </w:tr>
      <w:tr>
        <w:tblPrEx>
          <w:tblLayout w:type="fixed"/>
          <w:tblCellMar>
            <w:top w:w="15" w:type="dxa"/>
            <w:left w:w="15" w:type="dxa"/>
            <w:bottom w:w="15" w:type="dxa"/>
            <w:right w:w="15" w:type="dxa"/>
          </w:tblCellMar>
        </w:tblPrEx>
        <w:trPr>
          <w:trHeight w:val="108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b/>
                <w:color w:val="000000"/>
                <w:sz w:val="16"/>
                <w:szCs w:val="16"/>
              </w:rPr>
            </w:pPr>
            <w:r>
              <w:rPr>
                <w:rFonts w:hint="eastAsia" w:ascii="微软雅黑" w:hAnsi="微软雅黑" w:eastAsia="微软雅黑" w:cs="微软雅黑"/>
                <w:b/>
                <w:color w:val="000000"/>
                <w:kern w:val="0"/>
                <w:sz w:val="16"/>
                <w:szCs w:val="16"/>
                <w:lang w:bidi="ar"/>
              </w:rPr>
              <w:t>A3</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b/>
                <w:color w:val="000000"/>
                <w:sz w:val="16"/>
                <w:szCs w:val="16"/>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b/>
                <w:color w:val="000000"/>
                <w:sz w:val="16"/>
                <w:szCs w:val="16"/>
              </w:rPr>
            </w:pPr>
            <w:r>
              <w:rPr>
                <w:rFonts w:hint="eastAsia" w:ascii="微软雅黑" w:hAnsi="微软雅黑" w:eastAsia="微软雅黑" w:cs="微软雅黑"/>
                <w:b/>
                <w:color w:val="000000"/>
                <w:kern w:val="0"/>
                <w:sz w:val="16"/>
                <w:szCs w:val="16"/>
                <w:lang w:bidi="ar"/>
              </w:rPr>
              <w:t>rose</w:t>
            </w:r>
            <w:r>
              <w:rPr>
                <w:rFonts w:hint="eastAsia" w:ascii="宋体" w:hAnsi="宋体" w:cs="宋体"/>
                <w:b/>
                <w:color w:val="000000"/>
                <w:kern w:val="0"/>
                <w:sz w:val="16"/>
                <w:szCs w:val="16"/>
                <w:lang w:bidi="ar"/>
              </w:rPr>
              <w:t>备份软件</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cs="Calibri"/>
                <w:b/>
                <w:color w:val="000000"/>
                <w:sz w:val="16"/>
                <w:szCs w:val="16"/>
              </w:rPr>
            </w:pPr>
            <w:r>
              <w:rPr>
                <w:rFonts w:cs="Calibri"/>
                <w:b/>
                <w:color w:val="000000"/>
                <w:kern w:val="0"/>
                <w:sz w:val="16"/>
                <w:szCs w:val="16"/>
                <w:lang w:bidi="ar"/>
              </w:rPr>
              <w:t>rose</w:t>
            </w:r>
            <w:r>
              <w:rPr>
                <w:rFonts w:hint="eastAsia" w:ascii="宋体" w:hAnsi="宋体" w:cs="宋体"/>
                <w:b/>
                <w:color w:val="000000"/>
                <w:kern w:val="0"/>
                <w:sz w:val="16"/>
                <w:szCs w:val="16"/>
                <w:lang w:bidi="ar"/>
              </w:rPr>
              <w:t>备份</w:t>
            </w:r>
          </w:p>
        </w:tc>
        <w:tc>
          <w:tcPr>
            <w:tcW w:w="52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微软雅黑" w:hAnsi="微软雅黑" w:eastAsia="微软雅黑" w:cs="微软雅黑"/>
                <w:b/>
                <w:color w:val="000000"/>
                <w:sz w:val="16"/>
                <w:szCs w:val="16"/>
              </w:rPr>
            </w:pPr>
            <w:r>
              <w:rPr>
                <w:rFonts w:hint="eastAsia" w:ascii="微软雅黑" w:hAnsi="微软雅黑" w:eastAsia="微软雅黑" w:cs="微软雅黑"/>
                <w:b/>
                <w:color w:val="000000"/>
                <w:kern w:val="0"/>
                <w:sz w:val="16"/>
                <w:szCs w:val="16"/>
                <w:lang w:bidi="ar"/>
              </w:rPr>
              <w:t>数据备份需申请两套软件，此项为第一套软件费用</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b/>
                <w:color w:val="000000"/>
                <w:sz w:val="16"/>
                <w:szCs w:val="16"/>
              </w:rPr>
            </w:pPr>
            <w:r>
              <w:rPr>
                <w:rFonts w:hint="eastAsia" w:ascii="微软雅黑" w:hAnsi="微软雅黑" w:eastAsia="微软雅黑" w:cs="微软雅黑"/>
                <w:b/>
                <w:color w:val="000000"/>
                <w:kern w:val="0"/>
                <w:sz w:val="16"/>
                <w:szCs w:val="16"/>
                <w:lang w:bidi="ar"/>
              </w:rPr>
              <w:t>套</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b/>
                <w:color w:val="000000"/>
                <w:sz w:val="16"/>
                <w:szCs w:val="16"/>
              </w:rPr>
            </w:pPr>
            <w:r>
              <w:rPr>
                <w:rFonts w:hint="eastAsia" w:ascii="微软雅黑" w:hAnsi="微软雅黑" w:eastAsia="微软雅黑" w:cs="微软雅黑"/>
                <w:b/>
                <w:color w:val="000000"/>
                <w:kern w:val="0"/>
                <w:sz w:val="16"/>
                <w:szCs w:val="16"/>
                <w:lang w:bidi="ar"/>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b/>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b/>
                <w:color w:val="000000"/>
                <w:sz w:val="16"/>
                <w:szCs w:val="16"/>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数据备份需申请两套软件，此项为第一套软件费用</w:t>
            </w:r>
          </w:p>
        </w:tc>
      </w:tr>
      <w:tr>
        <w:tblPrEx>
          <w:tblLayout w:type="fixed"/>
          <w:tblCellMar>
            <w:top w:w="15" w:type="dxa"/>
            <w:left w:w="15" w:type="dxa"/>
            <w:bottom w:w="15" w:type="dxa"/>
            <w:right w:w="15" w:type="dxa"/>
          </w:tblCellMar>
        </w:tblPrEx>
        <w:trPr>
          <w:trHeight w:val="2381"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b/>
                <w:color w:val="000000"/>
                <w:sz w:val="16"/>
                <w:szCs w:val="16"/>
              </w:rPr>
            </w:pPr>
            <w:r>
              <w:rPr>
                <w:rFonts w:hint="eastAsia" w:ascii="微软雅黑" w:hAnsi="微软雅黑" w:eastAsia="微软雅黑" w:cs="微软雅黑"/>
                <w:b/>
                <w:color w:val="000000"/>
                <w:kern w:val="0"/>
                <w:sz w:val="16"/>
                <w:szCs w:val="16"/>
                <w:lang w:bidi="ar"/>
              </w:rPr>
              <w:t>A4</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b/>
                <w:color w:val="000000"/>
                <w:sz w:val="16"/>
                <w:szCs w:val="16"/>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微软雅黑" w:hAnsi="微软雅黑" w:eastAsia="微软雅黑" w:cs="微软雅黑"/>
                <w:b/>
                <w:color w:val="000000"/>
                <w:sz w:val="16"/>
                <w:szCs w:val="16"/>
              </w:rPr>
            </w:pPr>
            <w:r>
              <w:rPr>
                <w:rFonts w:hint="eastAsia" w:ascii="微软雅黑" w:hAnsi="微软雅黑" w:eastAsia="微软雅黑" w:cs="微软雅黑"/>
                <w:b/>
                <w:color w:val="000000"/>
                <w:kern w:val="0"/>
                <w:sz w:val="16"/>
                <w:szCs w:val="16"/>
                <w:lang w:bidi="ar"/>
              </w:rPr>
              <w:t>rose</w:t>
            </w:r>
            <w:r>
              <w:rPr>
                <w:rFonts w:hint="eastAsia" w:ascii="宋体" w:hAnsi="宋体" w:cs="宋体"/>
                <w:b/>
                <w:color w:val="000000"/>
                <w:kern w:val="0"/>
                <w:sz w:val="16"/>
                <w:szCs w:val="16"/>
                <w:lang w:bidi="ar"/>
              </w:rPr>
              <w:t>备份同步接入费用</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b/>
                <w:color w:val="000000"/>
                <w:sz w:val="16"/>
                <w:szCs w:val="16"/>
              </w:rPr>
            </w:pPr>
          </w:p>
        </w:tc>
        <w:tc>
          <w:tcPr>
            <w:tcW w:w="694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微软雅黑" w:hAnsi="微软雅黑" w:eastAsia="微软雅黑" w:cs="微软雅黑"/>
                <w:b/>
                <w:color w:val="000000"/>
                <w:sz w:val="16"/>
                <w:szCs w:val="16"/>
              </w:rPr>
            </w:pPr>
            <w:r>
              <w:rPr>
                <w:rFonts w:hint="eastAsia" w:ascii="微软雅黑" w:hAnsi="微软雅黑" w:eastAsia="微软雅黑" w:cs="微软雅黑"/>
                <w:b/>
                <w:color w:val="000000"/>
                <w:kern w:val="0"/>
                <w:sz w:val="16"/>
                <w:szCs w:val="16"/>
                <w:lang w:bidi="ar"/>
              </w:rPr>
              <w:t>A2+A3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微软雅黑" w:hAnsi="微软雅黑" w:eastAsia="微软雅黑" w:cs="微软雅黑"/>
                <w:b/>
                <w:color w:val="000000"/>
                <w:sz w:val="16"/>
                <w:szCs w:val="16"/>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服务器采用热备份模式，需在热备服务器上运行与主服务器相同软件，确保主服务器故障时，热备服务器无缝接管。</w:t>
            </w:r>
          </w:p>
        </w:tc>
      </w:tr>
      <w:tr>
        <w:tblPrEx>
          <w:tblLayout w:type="fixed"/>
          <w:tblCellMar>
            <w:top w:w="15" w:type="dxa"/>
            <w:left w:w="15" w:type="dxa"/>
            <w:bottom w:w="15" w:type="dxa"/>
            <w:right w:w="15" w:type="dxa"/>
          </w:tblCellMar>
        </w:tblPrEx>
        <w:trPr>
          <w:trHeight w:val="330" w:hRule="atLeast"/>
        </w:trPr>
        <w:tc>
          <w:tcPr>
            <w:tcW w:w="7806" w:type="dxa"/>
            <w:gridSpan w:val="8"/>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snapToGrid w:val="0"/>
              <w:jc w:val="center"/>
              <w:textAlignment w:val="bottom"/>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A合计(元)：A1+A2+A3+A4</w:t>
            </w:r>
          </w:p>
        </w:tc>
        <w:tc>
          <w:tcPr>
            <w:tcW w:w="1565"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snapToGrid w:val="0"/>
              <w:jc w:val="center"/>
              <w:rPr>
                <w:rFonts w:ascii="微软雅黑" w:hAnsi="微软雅黑" w:eastAsia="微软雅黑" w:cs="微软雅黑"/>
                <w:color w:val="000000"/>
                <w:sz w:val="22"/>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tcPr>
          <w:p>
            <w:pPr>
              <w:snapToGrid w:val="0"/>
              <w:jc w:val="center"/>
              <w:rPr>
                <w:rFonts w:ascii="微软雅黑" w:hAnsi="微软雅黑" w:eastAsia="微软雅黑" w:cs="微软雅黑"/>
                <w:b/>
                <w:color w:val="000000"/>
                <w:sz w:val="16"/>
                <w:szCs w:val="16"/>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tcPr>
          <w:p>
            <w:pPr>
              <w:snapToGrid w:val="0"/>
              <w:jc w:val="left"/>
              <w:rPr>
                <w:rFonts w:ascii="微软雅黑" w:hAnsi="微软雅黑" w:eastAsia="微软雅黑" w:cs="微软雅黑"/>
                <w:color w:val="000000"/>
                <w:sz w:val="16"/>
                <w:szCs w:val="16"/>
              </w:rPr>
            </w:pPr>
          </w:p>
        </w:tc>
      </w:tr>
      <w:tr>
        <w:tblPrEx>
          <w:tblLayout w:type="fixed"/>
          <w:tblCellMar>
            <w:top w:w="15" w:type="dxa"/>
            <w:left w:w="15" w:type="dxa"/>
            <w:bottom w:w="15" w:type="dxa"/>
            <w:right w:w="15" w:type="dxa"/>
          </w:tblCellMar>
        </w:tblPrEx>
        <w:trPr>
          <w:trHeight w:val="330" w:hRule="atLeast"/>
        </w:trPr>
        <w:tc>
          <w:tcPr>
            <w:tcW w:w="6650" w:type="dxa"/>
            <w:gridSpan w:val="5"/>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snapToGrid w:val="0"/>
              <w:jc w:val="center"/>
              <w:textAlignment w:val="bottom"/>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B专项改造调试费率(元)：</w:t>
            </w:r>
          </w:p>
        </w:tc>
        <w:tc>
          <w:tcPr>
            <w:tcW w:w="559" w:type="dxa"/>
            <w:tcBorders>
              <w:top w:val="single" w:color="000000" w:sz="4" w:space="0"/>
              <w:left w:val="single" w:color="000000" w:sz="4" w:space="0"/>
              <w:bottom w:val="single" w:color="000000" w:sz="4" w:space="0"/>
              <w:right w:val="single" w:color="000000" w:sz="4" w:space="0"/>
            </w:tcBorders>
            <w:shd w:val="clear" w:color="auto" w:fill="FFFFFF"/>
            <w:vAlign w:val="bottom"/>
          </w:tcPr>
          <w:p>
            <w:pPr>
              <w:snapToGrid w:val="0"/>
              <w:rPr>
                <w:rFonts w:ascii="微软雅黑" w:hAnsi="微软雅黑" w:eastAsia="微软雅黑" w:cs="微软雅黑"/>
                <w:b/>
                <w:color w:val="000000"/>
                <w:sz w:val="22"/>
              </w:rPr>
            </w:pPr>
          </w:p>
        </w:tc>
        <w:tc>
          <w:tcPr>
            <w:tcW w:w="597"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snapToGrid w:val="0"/>
              <w:jc w:val="right"/>
              <w:textAlignment w:val="bottom"/>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w:t>
            </w:r>
          </w:p>
        </w:tc>
        <w:tc>
          <w:tcPr>
            <w:tcW w:w="1565"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snapToGrid w:val="0"/>
              <w:jc w:val="center"/>
              <w:rPr>
                <w:rFonts w:ascii="微软雅黑" w:hAnsi="微软雅黑" w:eastAsia="微软雅黑" w:cs="微软雅黑"/>
                <w:color w:val="000000"/>
                <w:sz w:val="22"/>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FFFFFF"/>
          </w:tcPr>
          <w:p>
            <w:pPr>
              <w:widowControl/>
              <w:snapToGrid w:val="0"/>
              <w:jc w:val="center"/>
              <w:textAlignment w:val="top"/>
              <w:rPr>
                <w:rFonts w:ascii="微软雅黑" w:hAnsi="微软雅黑" w:eastAsia="微软雅黑" w:cs="微软雅黑"/>
                <w:b/>
                <w:color w:val="000000"/>
                <w:sz w:val="16"/>
                <w:szCs w:val="16"/>
              </w:rPr>
            </w:pPr>
            <w:r>
              <w:rPr>
                <w:rFonts w:hint="eastAsia" w:ascii="微软雅黑" w:hAnsi="微软雅黑" w:eastAsia="微软雅黑" w:cs="微软雅黑"/>
                <w:b/>
                <w:color w:val="000000"/>
                <w:kern w:val="0"/>
                <w:sz w:val="16"/>
                <w:szCs w:val="16"/>
                <w:lang w:bidi="ar"/>
              </w:rPr>
              <w:t>不超过25%</w:t>
            </w:r>
          </w:p>
        </w:tc>
      </w:tr>
      <w:tr>
        <w:tblPrEx>
          <w:tblLayout w:type="fixed"/>
          <w:tblCellMar>
            <w:top w:w="15" w:type="dxa"/>
            <w:left w:w="15" w:type="dxa"/>
            <w:bottom w:w="15" w:type="dxa"/>
            <w:right w:w="15" w:type="dxa"/>
          </w:tblCellMar>
        </w:tblPrEx>
        <w:trPr>
          <w:trHeight w:val="330" w:hRule="atLeast"/>
        </w:trPr>
        <w:tc>
          <w:tcPr>
            <w:tcW w:w="7806" w:type="dxa"/>
            <w:gridSpan w:val="8"/>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snapToGrid w:val="0"/>
              <w:jc w:val="center"/>
              <w:textAlignment w:val="bottom"/>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C合计(元)：</w:t>
            </w:r>
          </w:p>
        </w:tc>
        <w:tc>
          <w:tcPr>
            <w:tcW w:w="1565"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snapToGrid w:val="0"/>
              <w:jc w:val="center"/>
              <w:rPr>
                <w:rFonts w:ascii="微软雅黑" w:hAnsi="微软雅黑" w:eastAsia="微软雅黑" w:cs="微软雅黑"/>
                <w:color w:val="000000"/>
                <w:sz w:val="22"/>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FFFFFF"/>
          </w:tcPr>
          <w:p>
            <w:pPr>
              <w:snapToGrid w:val="0"/>
              <w:jc w:val="center"/>
              <w:rPr>
                <w:rFonts w:ascii="微软雅黑" w:hAnsi="微软雅黑" w:eastAsia="微软雅黑" w:cs="微软雅黑"/>
                <w:b/>
                <w:color w:val="000000"/>
                <w:sz w:val="16"/>
                <w:szCs w:val="16"/>
              </w:rPr>
            </w:pPr>
          </w:p>
        </w:tc>
      </w:tr>
    </w:tbl>
    <w:p>
      <w:pPr>
        <w:pStyle w:val="3"/>
        <w:spacing w:after="0" w:line="240" w:lineRule="atLeast"/>
        <w:jc w:val="center"/>
        <w:rPr>
          <w:rFonts w:ascii="方正仿宋_GBK" w:eastAsia="方正仿宋_GBK"/>
          <w:sz w:val="36"/>
          <w:szCs w:val="36"/>
        </w:rPr>
      </w:pPr>
      <w:r>
        <w:rPr>
          <w:rFonts w:hint="eastAsia" w:ascii="方正仿宋_GBK" w:hAnsi="方正仿宋_GBK" w:eastAsia="方正仿宋_GBK" w:cs="方正仿宋_GBK"/>
          <w:sz w:val="28"/>
          <w:szCs w:val="28"/>
        </w:rPr>
        <w:br w:type="page"/>
      </w:r>
      <w:r>
        <w:rPr>
          <w:rFonts w:hint="eastAsia" w:ascii="方正仿宋_GBK" w:eastAsia="方正仿宋_GBK"/>
          <w:sz w:val="36"/>
          <w:szCs w:val="36"/>
        </w:rPr>
        <w:t>第五部分</w:t>
      </w:r>
      <w:r>
        <w:rPr>
          <w:rFonts w:hint="eastAsia" w:eastAsia="方正仿宋_GBK"/>
          <w:sz w:val="36"/>
          <w:szCs w:val="36"/>
        </w:rPr>
        <w:t>  </w:t>
      </w:r>
      <w:r>
        <w:rPr>
          <w:rFonts w:hint="eastAsia" w:ascii="方正仿宋_GBK" w:eastAsia="方正仿宋_GBK"/>
          <w:sz w:val="36"/>
          <w:szCs w:val="36"/>
        </w:rPr>
        <w:t>响应文件格式</w:t>
      </w:r>
      <w:bookmarkEnd w:id="7"/>
    </w:p>
    <w:p>
      <w:pPr>
        <w:pStyle w:val="4"/>
        <w:keepNext w:val="0"/>
        <w:keepLines w:val="0"/>
        <w:numPr>
          <w:ilvl w:val="1"/>
          <w:numId w:val="5"/>
        </w:numPr>
        <w:autoSpaceDE w:val="0"/>
        <w:autoSpaceDN w:val="0"/>
        <w:adjustRightInd w:val="0"/>
        <w:spacing w:before="240" w:beforeLines="100" w:after="0" w:line="240" w:lineRule="atLeast"/>
        <w:jc w:val="left"/>
        <w:rPr>
          <w:rFonts w:ascii="方正黑体_GBK" w:hAnsi="方正黑体_GBK" w:eastAsia="方正黑体_GBK" w:cs="方正黑体_GBK"/>
          <w:b w:val="0"/>
          <w:bCs w:val="0"/>
          <w:sz w:val="28"/>
        </w:rPr>
      </w:pPr>
      <w:bookmarkStart w:id="8" w:name="_Toc306798308"/>
      <w:bookmarkStart w:id="9" w:name="_Toc306798307"/>
      <w:r>
        <w:rPr>
          <w:rFonts w:hint="eastAsia" w:ascii="方正黑体_GBK" w:hAnsi="方正黑体_GBK" w:eastAsia="方正黑体_GBK" w:cs="方正黑体_GBK"/>
          <w:b w:val="0"/>
          <w:bCs w:val="0"/>
          <w:sz w:val="28"/>
        </w:rPr>
        <w:t>响应函格式</w:t>
      </w:r>
      <w:bookmarkEnd w:id="8"/>
    </w:p>
    <w:p>
      <w:pPr>
        <w:spacing w:line="500" w:lineRule="exact"/>
        <w:ind w:firstLine="643" w:firstLineChars="200"/>
        <w:jc w:val="center"/>
        <w:rPr>
          <w:rFonts w:ascii="方正仿宋_GBK" w:hAnsi="宋体" w:eastAsia="方正仿宋_GBK"/>
          <w:b/>
          <w:sz w:val="32"/>
          <w:szCs w:val="32"/>
        </w:rPr>
      </w:pPr>
      <w:r>
        <w:rPr>
          <w:rFonts w:hint="eastAsia" w:ascii="方正仿宋_GBK" w:hAnsi="宋体" w:eastAsia="方正仿宋_GBK"/>
          <w:b/>
          <w:sz w:val="32"/>
          <w:szCs w:val="32"/>
        </w:rPr>
        <w:t>响 应 函</w:t>
      </w:r>
    </w:p>
    <w:p>
      <w:pPr>
        <w:spacing w:line="500" w:lineRule="exact"/>
        <w:ind w:firstLine="4343" w:firstLineChars="1545"/>
        <w:rPr>
          <w:rFonts w:ascii="方正仿宋_GBK" w:hAnsi="宋体" w:eastAsia="方正仿宋_GBK"/>
          <w:szCs w:val="21"/>
        </w:rPr>
      </w:pPr>
      <w:r>
        <w:rPr>
          <w:rFonts w:hint="eastAsia" w:ascii="方正仿宋_GBK" w:hAnsi="宋体" w:eastAsia="方正仿宋_GBK"/>
          <w:b/>
          <w:bCs/>
          <w:sz w:val="28"/>
          <w:szCs w:val="28"/>
        </w:rPr>
        <w:t>（第    次）</w:t>
      </w:r>
    </w:p>
    <w:p>
      <w:pPr>
        <w:keepNext w:val="0"/>
        <w:keepLines w:val="0"/>
        <w:pageBreakBefore w:val="0"/>
        <w:widowControl w:val="0"/>
        <w:tabs>
          <w:tab w:val="left" w:pos="6300"/>
        </w:tabs>
        <w:kinsoku/>
        <w:wordWrap/>
        <w:overflowPunct/>
        <w:topLinePunct w:val="0"/>
        <w:autoSpaceDE/>
        <w:autoSpaceDN/>
        <w:bidi w:val="0"/>
        <w:adjustRightInd/>
        <w:snapToGrid/>
        <w:spacing w:line="400" w:lineRule="exact"/>
        <w:ind w:left="0" w:leftChars="0" w:right="0" w:rightChars="0"/>
        <w:textAlignment w:val="auto"/>
        <w:outlineLvl w:val="9"/>
        <w:rPr>
          <w:rFonts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重庆银行股份有限公司成都分行</w:t>
      </w:r>
      <w:r>
        <w:rPr>
          <w:rFonts w:hint="eastAsia" w:ascii="方正仿宋_GBK" w:hAnsi="宋体" w:eastAsia="方正仿宋_GBK"/>
          <w:sz w:val="24"/>
        </w:rPr>
        <w:t>：</w:t>
      </w:r>
    </w:p>
    <w:p>
      <w:pPr>
        <w:keepNext w:val="0"/>
        <w:keepLines w:val="0"/>
        <w:pageBreakBefore w:val="0"/>
        <w:widowControl w:val="0"/>
        <w:kinsoku/>
        <w:wordWrap/>
        <w:overflowPunct/>
        <w:topLinePunct w:val="0"/>
        <w:autoSpaceDE/>
        <w:autoSpaceDN/>
        <w:bidi w:val="0"/>
        <w:adjustRightInd/>
        <w:snapToGrid/>
        <w:spacing w:before="120" w:beforeLines="50" w:line="400" w:lineRule="exact"/>
        <w:ind w:left="0" w:leftChars="0" w:right="0" w:rightChars="0" w:firstLine="480" w:firstLineChars="200"/>
        <w:textAlignment w:val="auto"/>
        <w:outlineLvl w:val="9"/>
        <w:rPr>
          <w:rFonts w:ascii="方正仿宋_GBK" w:hAnsi="宋体" w:eastAsia="方正仿宋_GBK"/>
          <w:sz w:val="24"/>
        </w:rPr>
      </w:pPr>
      <w:r>
        <w:rPr>
          <w:rFonts w:hint="eastAsia" w:ascii="方正仿宋_GBK" w:hAnsi="宋体" w:eastAsia="方正仿宋_GBK"/>
          <w:sz w:val="24"/>
        </w:rPr>
        <w:t>根据贵方招标</w:t>
      </w:r>
      <w:r>
        <w:rPr>
          <w:rFonts w:hint="eastAsia" w:ascii="方正仿宋_GBK" w:hAnsi="宋体" w:eastAsia="方正仿宋_GBK"/>
          <w:sz w:val="24"/>
          <w:u w:val="single"/>
        </w:rPr>
        <w:t>（项目名称）</w:t>
      </w:r>
      <w:r>
        <w:rPr>
          <w:rFonts w:hint="eastAsia" w:ascii="方正仿宋_GBK" w:hAnsi="宋体" w:eastAsia="方正仿宋_GBK"/>
          <w:sz w:val="24"/>
        </w:rPr>
        <w:t>的采购文件，我公司正式授权下述签字人</w:t>
      </w:r>
      <w:r>
        <w:rPr>
          <w:rFonts w:hint="eastAsia" w:ascii="方正仿宋_GBK" w:hAnsi="宋体" w:eastAsia="方正仿宋_GBK"/>
          <w:sz w:val="24"/>
          <w:u w:val="single"/>
        </w:rPr>
        <w:t xml:space="preserve">                 (姓名和职务)</w:t>
      </w:r>
      <w:r>
        <w:rPr>
          <w:rFonts w:hint="eastAsia" w:ascii="方正仿宋_GBK" w:hAnsi="宋体" w:eastAsia="方正仿宋_GBK"/>
          <w:sz w:val="24"/>
        </w:rPr>
        <w:t>代表我方</w:t>
      </w:r>
      <w:r>
        <w:rPr>
          <w:rFonts w:hint="eastAsia" w:ascii="方正仿宋_GBK" w:hAnsi="宋体" w:eastAsia="方正仿宋_GBK"/>
          <w:sz w:val="24"/>
          <w:u w:val="single"/>
        </w:rPr>
        <w:t xml:space="preserve">       （磋商供应商名称）       </w:t>
      </w:r>
      <w:r>
        <w:rPr>
          <w:rFonts w:hint="eastAsia" w:ascii="方正仿宋_GBK" w:hAnsi="宋体" w:eastAsia="方正仿宋_GBK"/>
          <w:sz w:val="24"/>
        </w:rPr>
        <w:t>，提交下述文件正本一份，副本一份，电子文档</w:t>
      </w:r>
      <w:r>
        <w:rPr>
          <w:rFonts w:hint="eastAsia" w:ascii="方正仿宋_GBK" w:hAnsi="宋体" w:eastAsia="方正仿宋_GBK"/>
          <w:sz w:val="24"/>
          <w:u w:val="single"/>
        </w:rPr>
        <w:t>1</w:t>
      </w:r>
      <w:r>
        <w:rPr>
          <w:rFonts w:hint="eastAsia" w:ascii="方正仿宋_GBK" w:hAnsi="宋体" w:eastAsia="方正仿宋_GBK"/>
          <w:sz w:val="24"/>
        </w:rPr>
        <w:t>份。</w:t>
      </w:r>
    </w:p>
    <w:p>
      <w:pPr>
        <w:keepNext w:val="0"/>
        <w:keepLines w:val="0"/>
        <w:pageBreakBefore w:val="0"/>
        <w:widowControl w:val="0"/>
        <w:kinsoku/>
        <w:wordWrap/>
        <w:overflowPunct/>
        <w:topLinePunct w:val="0"/>
        <w:autoSpaceDE/>
        <w:autoSpaceDN/>
        <w:bidi w:val="0"/>
        <w:adjustRightInd/>
        <w:snapToGrid/>
        <w:spacing w:before="120" w:beforeLines="50" w:line="400" w:lineRule="exact"/>
        <w:ind w:left="0" w:leftChars="0" w:right="0" w:rightChars="0" w:firstLine="480" w:firstLineChars="200"/>
        <w:textAlignment w:val="auto"/>
        <w:outlineLvl w:val="9"/>
        <w:rPr>
          <w:rFonts w:ascii="方正仿宋_GBK" w:hAnsi="宋体" w:eastAsia="方正仿宋_GBK"/>
          <w:sz w:val="24"/>
        </w:rPr>
      </w:pPr>
      <w:r>
        <w:rPr>
          <w:rFonts w:hint="eastAsia" w:ascii="方正仿宋_GBK" w:hAnsi="宋体" w:eastAsia="方正仿宋_GBK"/>
          <w:sz w:val="24"/>
        </w:rPr>
        <w:t>据此函，签字人兹宣布同意如下：</w:t>
      </w:r>
    </w:p>
    <w:p>
      <w:pPr>
        <w:pStyle w:val="19"/>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方正仿宋_GBK" w:hAnsi="宋体" w:eastAsia="方正仿宋_GBK"/>
          <w:color w:val="FF0000"/>
          <w:sz w:val="24"/>
        </w:rPr>
      </w:pPr>
      <w:r>
        <w:rPr>
          <w:rFonts w:hint="eastAsia" w:ascii="方正仿宋_GBK" w:hAnsi="宋体" w:eastAsia="方正仿宋_GBK"/>
          <w:sz w:val="24"/>
        </w:rPr>
        <w:t xml:space="preserve">    一、总报价为（大写）：</w:t>
      </w:r>
      <w:r>
        <w:rPr>
          <w:rFonts w:hint="eastAsia" w:ascii="方正仿宋_GBK" w:hAnsi="宋体" w:eastAsia="方正仿宋_GBK"/>
          <w:b/>
          <w:bCs/>
          <w:sz w:val="24"/>
          <w:u w:val="single"/>
        </w:rPr>
        <w:t xml:space="preserve">         </w:t>
      </w:r>
      <w:r>
        <w:rPr>
          <w:rFonts w:hint="eastAsia" w:ascii="方正仿宋_GBK" w:hAnsi="宋体" w:eastAsia="方正仿宋_GBK"/>
          <w:sz w:val="24"/>
          <w:u w:val="single"/>
        </w:rPr>
        <w:t xml:space="preserve">（小写）          </w:t>
      </w:r>
      <w:r>
        <w:rPr>
          <w:rFonts w:hint="eastAsia" w:ascii="方正仿宋_GBK" w:hAnsi="宋体" w:eastAsia="方正仿宋_GBK"/>
          <w:sz w:val="24"/>
        </w:rPr>
        <w:t>元人民币。该报价为完成项目所涉及的一切费用，含检验、运输、</w:t>
      </w:r>
      <w:r>
        <w:rPr>
          <w:rFonts w:hint="eastAsia" w:ascii="方正仿宋_GBK" w:hAnsi="宋体" w:eastAsia="方正仿宋_GBK"/>
          <w:sz w:val="24"/>
          <w:lang w:val="en-US" w:eastAsia="zh-CN"/>
        </w:rPr>
        <w:t>拆除</w:t>
      </w:r>
      <w:r>
        <w:rPr>
          <w:rFonts w:hint="eastAsia" w:ascii="方正仿宋_GBK" w:hAnsi="宋体" w:eastAsia="方正仿宋_GBK"/>
          <w:sz w:val="24"/>
        </w:rPr>
        <w:t>安装、调试、测试、软件开发升级、检查验收、售后服务、市场物价上涨因素考虑以及税金（含增值税专用发票税金）。中标供应商在质保期内须确保我行各网点现有的前端设备无条件无缝免费接入。另外本次报价中应充分考虑质保期内，在实际工作量（以结算单为准）的基础上免费扩容的需求，其中视频路数500路以内、报警路数500路以内、门禁路数100路以内、IP对讲100路以内均应免费扩容。超过以上路数采购人将按内部流程重新采购。</w:t>
      </w:r>
    </w:p>
    <w:p>
      <w:pPr>
        <w:keepNext w:val="0"/>
        <w:keepLines w:val="0"/>
        <w:pageBreakBefore w:val="0"/>
        <w:widowControl w:val="0"/>
        <w:tabs>
          <w:tab w:val="left" w:pos="6300"/>
        </w:tabs>
        <w:kinsoku/>
        <w:wordWrap/>
        <w:overflowPunct/>
        <w:topLinePunct w:val="0"/>
        <w:autoSpaceDE/>
        <w:autoSpaceDN/>
        <w:bidi w:val="0"/>
        <w:adjustRightInd/>
        <w:snapToGrid/>
        <w:spacing w:line="400" w:lineRule="exact"/>
        <w:ind w:left="0" w:leftChars="0" w:right="0" w:rightChars="0"/>
        <w:textAlignment w:val="auto"/>
        <w:outlineLvl w:val="9"/>
        <w:rPr>
          <w:rFonts w:ascii="方正仿宋_GBK" w:hAnsi="宋体" w:eastAsia="方正仿宋_GBK"/>
          <w:sz w:val="24"/>
        </w:rPr>
      </w:pPr>
      <w:r>
        <w:rPr>
          <w:rFonts w:hint="eastAsia" w:ascii="方正仿宋_GBK" w:hAnsi="宋体" w:eastAsia="方正仿宋_GBK"/>
          <w:sz w:val="24"/>
        </w:rPr>
        <w:t xml:space="preserve">    二、我方完全理解并接受该项目采购文件所有要求。</w:t>
      </w:r>
    </w:p>
    <w:p>
      <w:pPr>
        <w:keepNext w:val="0"/>
        <w:keepLines w:val="0"/>
        <w:pageBreakBefore w:val="0"/>
        <w:widowControl w:val="0"/>
        <w:tabs>
          <w:tab w:val="left" w:pos="6300"/>
        </w:tabs>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ascii="方正仿宋_GBK" w:hAnsi="宋体" w:eastAsia="方正仿宋_GBK"/>
          <w:sz w:val="24"/>
        </w:rPr>
      </w:pPr>
      <w:r>
        <w:rPr>
          <w:rFonts w:hint="eastAsia" w:ascii="方正仿宋_GBK" w:hAnsi="宋体" w:eastAsia="方正仿宋_GBK"/>
          <w:sz w:val="24"/>
        </w:rPr>
        <w:t>三、我方提交的所有响应文件、资料都是准确和真实的，如有虚假或隐瞒，我方愿意承担一切法律责任。</w:t>
      </w:r>
    </w:p>
    <w:p>
      <w:pPr>
        <w:keepNext w:val="0"/>
        <w:keepLines w:val="0"/>
        <w:pageBreakBefore w:val="0"/>
        <w:widowControl w:val="0"/>
        <w:tabs>
          <w:tab w:val="left" w:pos="6300"/>
        </w:tabs>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ascii="方正仿宋_GBK" w:hAnsi="宋体" w:eastAsia="方正仿宋_GBK"/>
          <w:sz w:val="24"/>
        </w:rPr>
      </w:pPr>
      <w:r>
        <w:rPr>
          <w:rFonts w:hint="eastAsia" w:ascii="方正仿宋_GBK" w:hAnsi="宋体" w:eastAsia="方正仿宋_GBK"/>
          <w:sz w:val="24"/>
        </w:rPr>
        <w:t>四、如果我方成交，我方将履行采购文件中规定的各项要求以及我方响应文件的各项承诺，按《合同法》、合同约定条款及相关法律法规承担我方责任。</w:t>
      </w:r>
    </w:p>
    <w:p>
      <w:pPr>
        <w:keepNext w:val="0"/>
        <w:keepLines w:val="0"/>
        <w:pageBreakBefore w:val="0"/>
        <w:widowControl w:val="0"/>
        <w:tabs>
          <w:tab w:val="left" w:pos="6300"/>
        </w:tabs>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ascii="方正仿宋_GBK" w:hAnsi="宋体" w:eastAsia="方正仿宋_GBK"/>
          <w:sz w:val="24"/>
        </w:rPr>
      </w:pPr>
      <w:r>
        <w:rPr>
          <w:rFonts w:hint="eastAsia" w:ascii="方正仿宋_GBK" w:hAnsi="宋体" w:eastAsia="方正仿宋_GBK"/>
          <w:sz w:val="24"/>
        </w:rPr>
        <w:t>五、我方理解，最低报价不是成交的唯一条件。</w:t>
      </w:r>
    </w:p>
    <w:p>
      <w:pPr>
        <w:keepNext w:val="0"/>
        <w:keepLines w:val="0"/>
        <w:pageBreakBefore w:val="0"/>
        <w:widowControl w:val="0"/>
        <w:tabs>
          <w:tab w:val="left" w:pos="6300"/>
        </w:tabs>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ascii="方正仿宋_GBK" w:hAnsi="宋体" w:eastAsia="方正仿宋_GBK"/>
          <w:sz w:val="24"/>
        </w:rPr>
      </w:pPr>
      <w:r>
        <w:rPr>
          <w:rFonts w:hint="eastAsia" w:ascii="方正仿宋_GBK" w:hAnsi="宋体" w:eastAsia="方正仿宋_GBK"/>
          <w:sz w:val="24"/>
        </w:rPr>
        <w:t>六、本响应文件自磋商之日起90个日历天内有效。</w:t>
      </w:r>
    </w:p>
    <w:p>
      <w:pPr>
        <w:keepNext w:val="0"/>
        <w:keepLines w:val="0"/>
        <w:pageBreakBefore w:val="0"/>
        <w:widowControl w:val="0"/>
        <w:tabs>
          <w:tab w:val="left" w:pos="6300"/>
        </w:tabs>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ascii="方正仿宋_GBK" w:hAnsi="宋体" w:eastAsia="方正仿宋_GBK"/>
          <w:sz w:val="24"/>
        </w:rPr>
      </w:pPr>
      <w:r>
        <w:rPr>
          <w:rFonts w:hint="eastAsia" w:ascii="方正仿宋_GBK" w:hAnsi="宋体" w:eastAsia="方正仿宋_GBK"/>
          <w:sz w:val="24"/>
        </w:rPr>
        <w:t>七、与本次采购有关的一切往来通讯请寄：</w:t>
      </w:r>
    </w:p>
    <w:p>
      <w:pPr>
        <w:keepNext w:val="0"/>
        <w:keepLines w:val="0"/>
        <w:pageBreakBefore w:val="0"/>
        <w:widowControl w:val="0"/>
        <w:tabs>
          <w:tab w:val="left" w:pos="6300"/>
        </w:tabs>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ascii="方正仿宋_GBK" w:hAnsi="宋体" w:eastAsia="方正仿宋_GBK"/>
          <w:sz w:val="24"/>
          <w:u w:val="single"/>
        </w:rPr>
      </w:pPr>
      <w:r>
        <w:rPr>
          <w:rFonts w:hint="eastAsia" w:ascii="方正仿宋_GBK" w:hAnsi="宋体" w:eastAsia="方正仿宋_GBK"/>
          <w:sz w:val="24"/>
        </w:rPr>
        <w:t>地   址：                                        邮   编：</w:t>
      </w:r>
    </w:p>
    <w:p>
      <w:pPr>
        <w:keepNext w:val="0"/>
        <w:keepLines w:val="0"/>
        <w:pageBreakBefore w:val="0"/>
        <w:widowControl w:val="0"/>
        <w:tabs>
          <w:tab w:val="left" w:pos="6300"/>
        </w:tabs>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ascii="方正仿宋_GBK" w:hAnsi="宋体" w:eastAsia="方正仿宋_GBK"/>
          <w:sz w:val="24"/>
        </w:rPr>
      </w:pPr>
      <w:r>
        <w:rPr>
          <w:rFonts w:hint="eastAsia" w:ascii="方正仿宋_GBK" w:hAnsi="宋体" w:eastAsia="方正仿宋_GBK"/>
          <w:sz w:val="24"/>
        </w:rPr>
        <w:t>电   话：                                        传   真：</w:t>
      </w:r>
    </w:p>
    <w:p>
      <w:pPr>
        <w:keepNext w:val="0"/>
        <w:keepLines w:val="0"/>
        <w:pageBreakBefore w:val="0"/>
        <w:widowControl w:val="0"/>
        <w:tabs>
          <w:tab w:val="left" w:pos="6300"/>
        </w:tabs>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spacing w:line="400" w:lineRule="exact"/>
        <w:ind w:left="0" w:leftChars="0" w:right="0" w:rightChars="0" w:firstLine="480" w:firstLineChars="200"/>
        <w:jc w:val="center"/>
        <w:textAlignment w:val="auto"/>
        <w:outlineLvl w:val="9"/>
        <w:rPr>
          <w:rFonts w:ascii="方正仿宋_GBK" w:hAnsi="宋体" w:eastAsia="方正仿宋_GBK"/>
          <w:sz w:val="24"/>
        </w:rPr>
      </w:pPr>
      <w:r>
        <w:rPr>
          <w:rFonts w:hint="eastAsia" w:ascii="方正仿宋_GBK" w:hAnsi="宋体" w:eastAsia="方正仿宋_GBK"/>
          <w:sz w:val="24"/>
        </w:rPr>
        <w:t xml:space="preserve">                      供应商（盖章）：</w:t>
      </w:r>
    </w:p>
    <w:p>
      <w:pPr>
        <w:keepNext w:val="0"/>
        <w:keepLines w:val="0"/>
        <w:pageBreakBefore w:val="0"/>
        <w:widowControl w:val="0"/>
        <w:tabs>
          <w:tab w:val="left" w:pos="6300"/>
        </w:tabs>
        <w:kinsoku/>
        <w:wordWrap/>
        <w:overflowPunct/>
        <w:topLinePunct w:val="0"/>
        <w:autoSpaceDE/>
        <w:autoSpaceDN/>
        <w:bidi w:val="0"/>
        <w:adjustRightInd/>
        <w:snapToGrid/>
        <w:spacing w:line="400" w:lineRule="exact"/>
        <w:ind w:left="0" w:leftChars="0" w:right="0" w:rightChars="0" w:firstLine="480" w:firstLineChars="200"/>
        <w:jc w:val="center"/>
        <w:textAlignment w:val="auto"/>
        <w:outlineLvl w:val="9"/>
        <w:rPr>
          <w:rFonts w:ascii="方正仿宋_GBK" w:hAnsi="宋体" w:eastAsia="方正仿宋_GBK"/>
          <w:sz w:val="24"/>
          <w:u w:val="single"/>
        </w:rPr>
      </w:pPr>
      <w:r>
        <w:rPr>
          <w:rFonts w:hint="eastAsia" w:ascii="方正仿宋_GBK" w:hAnsi="宋体" w:eastAsia="方正仿宋_GBK"/>
          <w:sz w:val="24"/>
        </w:rPr>
        <w:t xml:space="preserve">   法人代表或授权代表（签字或盖章）：</w:t>
      </w:r>
    </w:p>
    <w:p>
      <w:pPr>
        <w:keepNext w:val="0"/>
        <w:keepLines w:val="0"/>
        <w:pageBreakBefore w:val="0"/>
        <w:widowControl w:val="0"/>
        <w:tabs>
          <w:tab w:val="left" w:pos="6300"/>
        </w:tabs>
        <w:kinsoku/>
        <w:wordWrap/>
        <w:overflowPunct/>
        <w:topLinePunct w:val="0"/>
        <w:autoSpaceDE/>
        <w:autoSpaceDN/>
        <w:bidi w:val="0"/>
        <w:adjustRightInd/>
        <w:snapToGrid/>
        <w:spacing w:line="400" w:lineRule="exact"/>
        <w:ind w:left="0" w:leftChars="0" w:right="0" w:rightChars="0" w:firstLine="5760" w:firstLineChars="2400"/>
        <w:textAlignment w:val="auto"/>
        <w:outlineLvl w:val="9"/>
        <w:rPr>
          <w:rFonts w:ascii="方正仿宋_GBK" w:hAnsi="宋体" w:eastAsia="方正仿宋_GBK"/>
          <w:sz w:val="24"/>
        </w:rPr>
      </w:pPr>
      <w:r>
        <w:rPr>
          <w:rFonts w:hint="eastAsia" w:ascii="方正仿宋_GBK" w:hAnsi="宋体" w:eastAsia="方正仿宋_GBK"/>
          <w:sz w:val="24"/>
        </w:rPr>
        <w:t xml:space="preserve">    年     月    日</w:t>
      </w:r>
    </w:p>
    <w:p>
      <w:pPr>
        <w:pStyle w:val="4"/>
        <w:numPr>
          <w:ilvl w:val="1"/>
          <w:numId w:val="5"/>
        </w:numPr>
        <w:spacing w:before="240" w:beforeLines="100"/>
        <w:rPr>
          <w:rFonts w:ascii="方正黑体_GBK" w:hAnsi="方正黑体_GBK" w:eastAsia="方正黑体_GBK" w:cs="方正黑体_GBK"/>
          <w:b w:val="0"/>
          <w:bCs w:val="0"/>
          <w:sz w:val="28"/>
        </w:rPr>
      </w:pPr>
      <w:r>
        <w:rPr>
          <w:rFonts w:hint="eastAsia" w:ascii="方正黑体_GBK" w:hAnsi="方正黑体_GBK" w:eastAsia="方正黑体_GBK" w:cs="方正黑体_GBK"/>
          <w:b w:val="0"/>
          <w:bCs w:val="0"/>
          <w:sz w:val="28"/>
        </w:rPr>
        <w:t>报价表格式</w:t>
      </w:r>
    </w:p>
    <w:p>
      <w:pPr>
        <w:rPr>
          <w:sz w:val="28"/>
        </w:rPr>
      </w:pPr>
    </w:p>
    <w:p>
      <w:pPr>
        <w:rPr>
          <w:sz w:val="28"/>
        </w:rPr>
      </w:pPr>
    </w:p>
    <w:p>
      <w:pPr>
        <w:rPr>
          <w:sz w:val="28"/>
        </w:rPr>
      </w:pPr>
    </w:p>
    <w:p>
      <w:pPr>
        <w:rPr>
          <w:sz w:val="28"/>
        </w:rPr>
      </w:pPr>
    </w:p>
    <w:p>
      <w:pPr>
        <w:rPr>
          <w:sz w:val="28"/>
        </w:rPr>
      </w:pPr>
    </w:p>
    <w:p>
      <w:pPr>
        <w:jc w:val="center"/>
        <w:rPr>
          <w:rFonts w:ascii="方正仿宋_GBK" w:hAnsi="方正仿宋_GBK" w:eastAsia="方正仿宋_GBK" w:cs="方正仿宋_GBK"/>
          <w:b/>
          <w:sz w:val="30"/>
          <w:szCs w:val="30"/>
        </w:rPr>
      </w:pPr>
      <w:r>
        <w:rPr>
          <w:rFonts w:hint="eastAsia" w:ascii="方正仿宋_GBK" w:hAnsi="方正仿宋_GBK" w:eastAsia="方正仿宋_GBK" w:cs="方正仿宋_GBK"/>
          <w:b/>
          <w:sz w:val="30"/>
          <w:szCs w:val="30"/>
        </w:rPr>
        <w:t>报价表</w:t>
      </w:r>
    </w:p>
    <w:p>
      <w:pPr>
        <w:jc w:val="center"/>
        <w:rPr>
          <w:rFonts w:ascii="方正仿宋_GBK" w:hAnsi="方正仿宋_GBK" w:eastAsia="方正仿宋_GBK" w:cs="方正仿宋_GBK"/>
          <w:b/>
          <w:sz w:val="30"/>
          <w:szCs w:val="30"/>
        </w:rPr>
      </w:pPr>
      <w:r>
        <w:rPr>
          <w:rFonts w:hint="eastAsia" w:ascii="方正仿宋_GBK" w:hAnsi="方正仿宋_GBK" w:eastAsia="方正仿宋_GBK" w:cs="方正仿宋_GBK"/>
          <w:b/>
          <w:sz w:val="30"/>
          <w:szCs w:val="30"/>
        </w:rPr>
        <w:t>（第    次）</w:t>
      </w:r>
    </w:p>
    <w:tbl>
      <w:tblPr>
        <w:tblStyle w:val="15"/>
        <w:tblW w:w="101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6533"/>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0" w:type="dxa"/>
            <w:vAlign w:val="center"/>
          </w:tcPr>
          <w:p>
            <w:pPr>
              <w:jc w:val="center"/>
              <w:rPr>
                <w:rFonts w:ascii="方正仿宋_GBK" w:hAnsi="方正仿宋_GBK" w:eastAsia="方正仿宋_GBK" w:cs="方正仿宋_GBK"/>
                <w:sz w:val="30"/>
                <w:szCs w:val="30"/>
              </w:rPr>
            </w:pPr>
            <w:r>
              <w:rPr>
                <w:rFonts w:hint="eastAsia" w:ascii="方正仿宋_GBK" w:hAnsi="方正仿宋_GBK" w:eastAsia="方正仿宋_GBK" w:cs="方正仿宋_GBK"/>
                <w:b/>
                <w:bCs/>
                <w:kern w:val="0"/>
                <w:sz w:val="24"/>
              </w:rPr>
              <w:t>项目</w:t>
            </w:r>
          </w:p>
        </w:tc>
        <w:tc>
          <w:tcPr>
            <w:tcW w:w="6533" w:type="dxa"/>
            <w:vAlign w:val="center"/>
          </w:tcPr>
          <w:p>
            <w:pPr>
              <w:jc w:val="center"/>
              <w:rPr>
                <w:rFonts w:ascii="方正仿宋_GBK" w:hAnsi="方正仿宋_GBK" w:eastAsia="方正仿宋_GBK" w:cs="方正仿宋_GBK"/>
                <w:b/>
                <w:bCs/>
                <w:kern w:val="0"/>
                <w:sz w:val="22"/>
              </w:rPr>
            </w:pPr>
            <w:r>
              <w:rPr>
                <w:rFonts w:hint="eastAsia" w:ascii="方正仿宋_GBK" w:hAnsi="方正仿宋_GBK" w:eastAsia="方正仿宋_GBK" w:cs="方正仿宋_GBK"/>
                <w:b/>
                <w:bCs/>
                <w:kern w:val="0"/>
                <w:sz w:val="24"/>
              </w:rPr>
              <w:t>总价（万元）</w:t>
            </w:r>
          </w:p>
        </w:tc>
        <w:tc>
          <w:tcPr>
            <w:tcW w:w="1680" w:type="dxa"/>
            <w:vAlign w:val="center"/>
          </w:tcPr>
          <w:p>
            <w:pPr>
              <w:jc w:val="center"/>
              <w:rPr>
                <w:rFonts w:ascii="方正仿宋_GBK" w:hAnsi="方正仿宋_GBK" w:eastAsia="方正仿宋_GBK" w:cs="方正仿宋_GBK"/>
                <w:sz w:val="24"/>
              </w:rPr>
            </w:pPr>
            <w:r>
              <w:rPr>
                <w:rFonts w:hint="eastAsia" w:ascii="方正仿宋_GBK" w:hAnsi="方正仿宋_GBK" w:eastAsia="方正仿宋_GBK" w:cs="方正仿宋_GBK"/>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0"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 w:val="24"/>
              </w:rPr>
              <w:t>重庆银行成都分行联网监控中心管理平台软硬件改造项目</w:t>
            </w:r>
          </w:p>
        </w:tc>
        <w:tc>
          <w:tcPr>
            <w:tcW w:w="6533" w:type="dxa"/>
            <w:vAlign w:val="center"/>
          </w:tcPr>
          <w:p>
            <w:pPr>
              <w:jc w:val="center"/>
              <w:rPr>
                <w:rFonts w:ascii="方正仿宋_GBK" w:hAnsi="方正仿宋_GBK" w:eastAsia="方正仿宋_GBK" w:cs="方正仿宋_GBK"/>
                <w:sz w:val="24"/>
              </w:rPr>
            </w:pPr>
          </w:p>
        </w:tc>
        <w:tc>
          <w:tcPr>
            <w:tcW w:w="1680" w:type="dxa"/>
            <w:vAlign w:val="center"/>
          </w:tcPr>
          <w:p>
            <w:pPr>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920" w:type="dxa"/>
            <w:vAlign w:val="center"/>
          </w:tcPr>
          <w:p>
            <w:pPr>
              <w:jc w:val="center"/>
              <w:rPr>
                <w:rFonts w:ascii="方正仿宋_GBK" w:hAnsi="方正仿宋_GBK" w:eastAsia="方正仿宋_GBK" w:cs="方正仿宋_GBK"/>
                <w:kern w:val="0"/>
                <w:sz w:val="24"/>
              </w:rPr>
            </w:pPr>
            <w:r>
              <w:rPr>
                <w:rFonts w:hint="eastAsia" w:ascii="方正仿宋_GBK" w:hAnsi="方正仿宋_GBK" w:eastAsia="方正仿宋_GBK" w:cs="方正仿宋_GBK"/>
                <w:b/>
                <w:kern w:val="0"/>
                <w:sz w:val="24"/>
              </w:rPr>
              <w:t>合   计（大写）</w:t>
            </w:r>
          </w:p>
        </w:tc>
        <w:tc>
          <w:tcPr>
            <w:tcW w:w="6533" w:type="dxa"/>
            <w:vAlign w:val="center"/>
          </w:tcPr>
          <w:p>
            <w:pPr>
              <w:jc w:val="center"/>
              <w:rPr>
                <w:rFonts w:ascii="方正仿宋_GBK" w:hAnsi="方正仿宋_GBK" w:eastAsia="方正仿宋_GBK" w:cs="方正仿宋_GBK"/>
                <w:sz w:val="24"/>
              </w:rPr>
            </w:pPr>
          </w:p>
        </w:tc>
        <w:tc>
          <w:tcPr>
            <w:tcW w:w="1680" w:type="dxa"/>
            <w:vAlign w:val="center"/>
          </w:tcPr>
          <w:p>
            <w:pPr>
              <w:jc w:val="center"/>
              <w:rPr>
                <w:rFonts w:ascii="方正仿宋_GBK" w:hAnsi="方正仿宋_GBK" w:eastAsia="方正仿宋_GBK" w:cs="方正仿宋_GBK"/>
                <w:sz w:val="24"/>
              </w:rPr>
            </w:pPr>
          </w:p>
        </w:tc>
      </w:tr>
    </w:tbl>
    <w:p>
      <w:pPr>
        <w:tabs>
          <w:tab w:val="left" w:pos="540"/>
          <w:tab w:val="left" w:pos="720"/>
        </w:tabs>
        <w:spacing w:line="600" w:lineRule="exact"/>
        <w:ind w:firstLine="562" w:firstLineChars="200"/>
        <w:rPr>
          <w:rFonts w:hint="eastAsia" w:ascii="方正仿宋_GBK" w:hAnsi="方正仿宋_GBK" w:eastAsia="方正仿宋_GBK" w:cs="方正仿宋_GBK"/>
          <w:b/>
          <w:sz w:val="24"/>
        </w:rPr>
      </w:pPr>
      <w:r>
        <w:rPr>
          <w:rFonts w:hint="eastAsia" w:ascii="方正仿宋_GBK" w:eastAsia="方正仿宋_GBK"/>
          <w:b/>
          <w:sz w:val="24"/>
        </w:rPr>
        <w:t>请供应商自备此空白报价表</w:t>
      </w:r>
      <w:r>
        <w:rPr>
          <w:rFonts w:hint="eastAsia" w:ascii="方正仿宋_GBK" w:eastAsia="方正仿宋_GBK"/>
          <w:b/>
          <w:sz w:val="24"/>
          <w:lang w:eastAsia="zh-CN"/>
        </w:rPr>
        <w:t>（</w:t>
      </w:r>
      <w:r>
        <w:rPr>
          <w:rFonts w:hint="eastAsia" w:ascii="方正仿宋_GBK" w:eastAsia="方正仿宋_GBK"/>
          <w:b/>
          <w:sz w:val="24"/>
          <w:lang w:val="en-US" w:eastAsia="zh-CN"/>
        </w:rPr>
        <w:t>需盖鲜章</w:t>
      </w:r>
      <w:r>
        <w:rPr>
          <w:rFonts w:hint="eastAsia" w:ascii="方正仿宋_GBK" w:eastAsia="方正仿宋_GBK"/>
          <w:b/>
          <w:sz w:val="24"/>
          <w:lang w:eastAsia="zh-CN"/>
        </w:rPr>
        <w:t>）</w:t>
      </w:r>
      <w:r>
        <w:rPr>
          <w:rFonts w:hint="eastAsia" w:ascii="方正仿宋_GBK" w:eastAsia="方正仿宋_GBK"/>
          <w:b/>
          <w:sz w:val="24"/>
        </w:rPr>
        <w:t>，用于第二次报价。第二次报价</w:t>
      </w:r>
      <w:r>
        <w:rPr>
          <w:rFonts w:hint="eastAsia" w:ascii="方正仿宋_GBK" w:hAnsi="方正仿宋_GBK" w:eastAsia="方正仿宋_GBK" w:cs="方正仿宋_GBK"/>
          <w:b/>
          <w:sz w:val="24"/>
        </w:rPr>
        <w:t>若对总报价进行了下浮（和第一次报价相比），则最终的各项单价同比例下浮,在结算时按最终同比例下浮后的单价进行结算。</w:t>
      </w:r>
    </w:p>
    <w:p>
      <w:pPr>
        <w:tabs>
          <w:tab w:val="left" w:pos="540"/>
          <w:tab w:val="left" w:pos="720"/>
        </w:tabs>
        <w:spacing w:line="600" w:lineRule="exact"/>
        <w:ind w:firstLine="562" w:firstLineChars="200"/>
        <w:rPr>
          <w:rFonts w:hint="eastAsia" w:ascii="方正仿宋_GBK" w:hAnsi="方正仿宋_GBK" w:eastAsia="方正仿宋_GBK" w:cs="方正仿宋_GBK"/>
          <w:b/>
          <w:sz w:val="24"/>
        </w:rPr>
      </w:pPr>
    </w:p>
    <w:p>
      <w:pPr>
        <w:rPr>
          <w:rFonts w:ascii="方正仿宋_GBK" w:hAnsi="方正仿宋_GBK" w:eastAsia="方正仿宋_GBK" w:cs="方正仿宋_GBK"/>
          <w:sz w:val="24"/>
        </w:rPr>
      </w:pPr>
    </w:p>
    <w:p>
      <w:pPr>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采购预算：</w:t>
      </w:r>
      <w:r>
        <w:rPr>
          <w:rFonts w:hint="eastAsia" w:ascii="方正仿宋_GBK" w:hAnsi="方正仿宋_GBK" w:eastAsia="方正仿宋_GBK" w:cs="方正仿宋_GBK"/>
          <w:sz w:val="28"/>
          <w:szCs w:val="28"/>
          <w:u w:val="single"/>
        </w:rPr>
        <w:t>100万元（超此限价作无效报价处理）。</w:t>
      </w:r>
    </w:p>
    <w:p>
      <w:pPr>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u w:val="single"/>
        </w:rPr>
        <w:t>注：报价明细表，也需填报。</w:t>
      </w:r>
    </w:p>
    <w:p>
      <w:pPr>
        <w:rPr>
          <w:rFonts w:ascii="方正仿宋_GBK" w:hAnsi="方正仿宋_GBK" w:eastAsia="方正仿宋_GBK" w:cs="方正仿宋_GBK"/>
          <w:sz w:val="24"/>
        </w:rPr>
      </w:pPr>
    </w:p>
    <w:p>
      <w:pPr>
        <w:pStyle w:val="4"/>
      </w:pPr>
    </w:p>
    <w:p>
      <w:pPr>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供 应 商：                                 法人代表或授权代理人：</w:t>
      </w:r>
    </w:p>
    <w:p>
      <w:pPr>
        <w:rPr>
          <w:rFonts w:ascii="方正仿宋_GBK" w:hAnsi="方正仿宋_GBK" w:eastAsia="方正仿宋_GBK" w:cs="方正仿宋_GBK"/>
          <w:szCs w:val="21"/>
        </w:rPr>
      </w:pPr>
      <w:r>
        <w:rPr>
          <w:rFonts w:hint="eastAsia" w:ascii="方正仿宋_GBK" w:hAnsi="方正仿宋_GBK" w:eastAsia="方正仿宋_GBK" w:cs="方正仿宋_GBK"/>
          <w:sz w:val="24"/>
        </w:rPr>
        <w:t xml:space="preserve">   （盖章）                                    （签字或盖章）</w:t>
      </w:r>
    </w:p>
    <w:p>
      <w:pPr>
        <w:ind w:firstLine="2280" w:firstLineChars="950"/>
        <w:rPr>
          <w:rFonts w:ascii="方正仿宋_GBK" w:hAnsi="方正仿宋_GBK" w:eastAsia="方正仿宋_GBK" w:cs="方正仿宋_GBK"/>
          <w:sz w:val="24"/>
        </w:rPr>
      </w:pPr>
    </w:p>
    <w:p>
      <w:pPr>
        <w:ind w:firstLine="2280" w:firstLineChars="950"/>
        <w:rPr>
          <w:rFonts w:ascii="方正仿宋_GBK" w:hAnsi="方正仿宋_GBK" w:eastAsia="方正仿宋_GBK" w:cs="方正仿宋_GBK"/>
          <w:sz w:val="24"/>
        </w:rPr>
      </w:pPr>
    </w:p>
    <w:p>
      <w:pPr>
        <w:ind w:firstLine="2280" w:firstLineChars="950"/>
      </w:pPr>
      <w:r>
        <w:rPr>
          <w:rFonts w:hint="eastAsia" w:ascii="方正仿宋_GBK" w:hAnsi="方正仿宋_GBK" w:eastAsia="方正仿宋_GBK" w:cs="方正仿宋_GBK"/>
          <w:sz w:val="24"/>
        </w:rPr>
        <w:t xml:space="preserve">                               年    月    日</w:t>
      </w:r>
    </w:p>
    <w:p>
      <w:pPr>
        <w:rPr>
          <w:rFonts w:ascii="方正仿宋_GBK" w:hAnsi="方正仿宋_GBK" w:eastAsia="方正仿宋_GBK" w:cs="方正仿宋_GBK"/>
          <w:b/>
          <w:bCs/>
          <w:sz w:val="32"/>
          <w:szCs w:val="32"/>
        </w:rPr>
      </w:pPr>
    </w:p>
    <w:p>
      <w:pPr>
        <w:jc w:val="cente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报价明细表</w:t>
      </w:r>
    </w:p>
    <w:p>
      <w:pPr>
        <w:jc w:val="left"/>
      </w:pPr>
      <w:r>
        <w:rPr>
          <w:rFonts w:hint="eastAsia" w:ascii="方正仿宋_GBK" w:hAnsi="方正仿宋_GBK" w:eastAsia="方正仿宋_GBK" w:cs="方正仿宋_GBK"/>
          <w:b/>
          <w:bCs/>
          <w:sz w:val="32"/>
          <w:szCs w:val="32"/>
        </w:rPr>
        <w:t>单位：元</w:t>
      </w:r>
    </w:p>
    <w:tbl>
      <w:tblPr>
        <w:tblStyle w:val="15"/>
        <w:tblpPr w:leftFromText="180" w:rightFromText="180" w:vertAnchor="text" w:horzAnchor="page" w:tblpX="438" w:tblpY="510"/>
        <w:tblOverlap w:val="never"/>
        <w:tblW w:w="11385" w:type="dxa"/>
        <w:tblInd w:w="0" w:type="dxa"/>
        <w:tblLayout w:type="fixed"/>
        <w:tblCellMar>
          <w:top w:w="15" w:type="dxa"/>
          <w:left w:w="15" w:type="dxa"/>
          <w:bottom w:w="15" w:type="dxa"/>
          <w:right w:w="15" w:type="dxa"/>
        </w:tblCellMar>
      </w:tblPr>
      <w:tblGrid>
        <w:gridCol w:w="547"/>
        <w:gridCol w:w="736"/>
        <w:gridCol w:w="526"/>
        <w:gridCol w:w="702"/>
        <w:gridCol w:w="4089"/>
        <w:gridCol w:w="547"/>
        <w:gridCol w:w="586"/>
        <w:gridCol w:w="2103"/>
        <w:gridCol w:w="534"/>
        <w:gridCol w:w="1015"/>
      </w:tblGrid>
      <w:tr>
        <w:tblPrEx>
          <w:tblLayout w:type="fixed"/>
          <w:tblCellMar>
            <w:top w:w="15" w:type="dxa"/>
            <w:left w:w="15" w:type="dxa"/>
            <w:bottom w:w="15" w:type="dxa"/>
            <w:right w:w="15" w:type="dxa"/>
          </w:tblCellMar>
        </w:tblPrEx>
        <w:trPr>
          <w:trHeight w:val="6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序号</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名称</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品牌</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型号</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技术规格</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单位</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数量</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 xml:space="preserve">单价  </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合价(元)</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备注</w:t>
            </w:r>
          </w:p>
        </w:tc>
      </w:tr>
      <w:tr>
        <w:tblPrEx>
          <w:tblLayout w:type="fixed"/>
          <w:tblCellMar>
            <w:top w:w="15" w:type="dxa"/>
            <w:left w:w="15" w:type="dxa"/>
            <w:bottom w:w="15" w:type="dxa"/>
            <w:right w:w="15" w:type="dxa"/>
          </w:tblCellMar>
        </w:tblPrEx>
        <w:trPr>
          <w:trHeight w:val="52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平台服务器</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4210R×1/64G DDR4/1.2T 10K  SAS×2(RAID_1)/RAID_2G/1GbE×2/550W(1+1)/2U/3Y</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2U双路标准机架式服务器</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CPU：1颗intel至强系列处理器，核数≥10核，主频≥2.4GHz</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内存：64G DDR4，16根内存插槽，最大支持扩展至2TB内存</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硬盘：2块1.2T 10K 2.5寸 SAS硬盘</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阵列卡：SAS_HBA卡, 支持RAID 0/1/10</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PCIE扩展：最大可支持6个PCIE扩展插槽</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网口：2个千兆电口</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其他接口：1个RJ45管理接口，后置2个USB 3.0接口，前置2个USB2.0接口，1个VGA接口</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 xml:space="preserve">电源：标配550W（1+1）高效铂金CRPS冗余电源 </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机箱规格：87.8mm(高)x 448mm(宽)x729.8mm(深)</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设备重量：约26KG（含导轨）</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台</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2</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1台做中心服务器，1台做热备服务器。利旧接入24块2T企硬盘到阵列卡，用于紧急录像、报警抓拍图片的集中存储</w:t>
            </w:r>
          </w:p>
        </w:tc>
      </w:tr>
      <w:tr>
        <w:tblPrEx>
          <w:tblLayout w:type="fixed"/>
          <w:tblCellMar>
            <w:top w:w="15" w:type="dxa"/>
            <w:left w:w="15" w:type="dxa"/>
            <w:bottom w:w="15" w:type="dxa"/>
            <w:right w:w="15" w:type="dxa"/>
          </w:tblCellMar>
        </w:tblPrEx>
        <w:trPr>
          <w:trHeight w:val="405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2</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win服务器</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Calibri"/>
                <w:color w:val="000000"/>
                <w:sz w:val="16"/>
                <w:szCs w:val="16"/>
              </w:rPr>
            </w:pPr>
          </w:p>
        </w:tc>
        <w:tc>
          <w:tcPr>
            <w:tcW w:w="4089"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Calibri"/>
                <w:color w:val="000000"/>
                <w:sz w:val="16"/>
                <w:szCs w:val="16"/>
              </w:rPr>
            </w:pPr>
            <w:r>
              <w:rPr>
                <w:rStyle w:val="28"/>
                <w:lang w:bidi="ar"/>
              </w:rPr>
              <w:t xml:space="preserve">4210×1/32G DDR4/600G 10K  SAS×4(RAID_10)/SAS_HBA/1GbE×2/Win Svr 2016 </w:t>
            </w:r>
            <w:r>
              <w:rPr>
                <w:rStyle w:val="29"/>
                <w:rFonts w:hint="default"/>
                <w:lang w:bidi="ar"/>
              </w:rPr>
              <w:t>简中标版</w:t>
            </w:r>
            <w:r>
              <w:rPr>
                <w:rStyle w:val="28"/>
                <w:lang w:bidi="ar"/>
              </w:rPr>
              <w:t>/550W(1+1)/2U</w:t>
            </w:r>
            <w:r>
              <w:rPr>
                <w:rStyle w:val="28"/>
                <w:lang w:bidi="ar"/>
              </w:rPr>
              <w:br w:type="textWrapping"/>
            </w:r>
            <w:r>
              <w:rPr>
                <w:rStyle w:val="28"/>
                <w:lang w:bidi="ar"/>
              </w:rPr>
              <w:t>2U</w:t>
            </w:r>
            <w:r>
              <w:rPr>
                <w:rStyle w:val="29"/>
                <w:rFonts w:hint="default"/>
                <w:lang w:bidi="ar"/>
              </w:rPr>
              <w:t>双路标准机架式服务器</w:t>
            </w:r>
            <w:r>
              <w:rPr>
                <w:rStyle w:val="29"/>
                <w:rFonts w:hint="default"/>
                <w:lang w:bidi="ar"/>
              </w:rPr>
              <w:br w:type="textWrapping"/>
            </w:r>
            <w:r>
              <w:rPr>
                <w:rStyle w:val="28"/>
                <w:lang w:bidi="ar"/>
              </w:rPr>
              <w:t>CPU</w:t>
            </w:r>
            <w:r>
              <w:rPr>
                <w:rStyle w:val="29"/>
                <w:rFonts w:hint="default"/>
                <w:lang w:bidi="ar"/>
              </w:rPr>
              <w:t>：</w:t>
            </w:r>
            <w:r>
              <w:rPr>
                <w:rStyle w:val="28"/>
                <w:lang w:bidi="ar"/>
              </w:rPr>
              <w:t>1</w:t>
            </w:r>
            <w:r>
              <w:rPr>
                <w:rStyle w:val="29"/>
                <w:rFonts w:hint="default"/>
                <w:lang w:bidi="ar"/>
              </w:rPr>
              <w:t>颗</w:t>
            </w:r>
            <w:r>
              <w:rPr>
                <w:rStyle w:val="28"/>
                <w:lang w:bidi="ar"/>
              </w:rPr>
              <w:t>intel</w:t>
            </w:r>
            <w:r>
              <w:rPr>
                <w:rStyle w:val="29"/>
                <w:rFonts w:hint="default"/>
                <w:lang w:bidi="ar"/>
              </w:rPr>
              <w:t>至强系列处理器，核数≥</w:t>
            </w:r>
            <w:r>
              <w:rPr>
                <w:rStyle w:val="28"/>
                <w:lang w:bidi="ar"/>
              </w:rPr>
              <w:t>10</w:t>
            </w:r>
            <w:r>
              <w:rPr>
                <w:rStyle w:val="29"/>
                <w:rFonts w:hint="default"/>
                <w:lang w:bidi="ar"/>
              </w:rPr>
              <w:t>核，主频≥</w:t>
            </w:r>
            <w:r>
              <w:rPr>
                <w:rStyle w:val="28"/>
                <w:lang w:bidi="ar"/>
              </w:rPr>
              <w:t>2.2GHz</w:t>
            </w:r>
            <w:r>
              <w:rPr>
                <w:rStyle w:val="28"/>
                <w:lang w:bidi="ar"/>
              </w:rPr>
              <w:br w:type="textWrapping"/>
            </w:r>
            <w:r>
              <w:rPr>
                <w:rStyle w:val="29"/>
                <w:rFonts w:hint="default"/>
                <w:lang w:bidi="ar"/>
              </w:rPr>
              <w:t>内存：</w:t>
            </w:r>
            <w:r>
              <w:rPr>
                <w:rStyle w:val="28"/>
                <w:lang w:bidi="ar"/>
              </w:rPr>
              <w:t>32G DDR4</w:t>
            </w:r>
            <w:r>
              <w:rPr>
                <w:rStyle w:val="29"/>
                <w:rFonts w:hint="default"/>
                <w:lang w:bidi="ar"/>
              </w:rPr>
              <w:t>，</w:t>
            </w:r>
            <w:r>
              <w:rPr>
                <w:rStyle w:val="28"/>
                <w:lang w:bidi="ar"/>
              </w:rPr>
              <w:t>16</w:t>
            </w:r>
            <w:r>
              <w:rPr>
                <w:rStyle w:val="29"/>
                <w:rFonts w:hint="default"/>
                <w:lang w:bidi="ar"/>
              </w:rPr>
              <w:t>根内存插槽，最大支持扩展至</w:t>
            </w:r>
            <w:r>
              <w:rPr>
                <w:rStyle w:val="28"/>
                <w:lang w:bidi="ar"/>
              </w:rPr>
              <w:t>2TB</w:t>
            </w:r>
            <w:r>
              <w:rPr>
                <w:rStyle w:val="29"/>
                <w:rFonts w:hint="default"/>
                <w:lang w:bidi="ar"/>
              </w:rPr>
              <w:t>内存</w:t>
            </w:r>
            <w:r>
              <w:rPr>
                <w:rStyle w:val="29"/>
                <w:rFonts w:hint="default"/>
                <w:lang w:bidi="ar"/>
              </w:rPr>
              <w:br w:type="textWrapping"/>
            </w:r>
            <w:r>
              <w:rPr>
                <w:rStyle w:val="29"/>
                <w:rFonts w:hint="default"/>
                <w:lang w:bidi="ar"/>
              </w:rPr>
              <w:t>硬盘：</w:t>
            </w:r>
            <w:r>
              <w:rPr>
                <w:rStyle w:val="28"/>
                <w:lang w:bidi="ar"/>
              </w:rPr>
              <w:t>4</w:t>
            </w:r>
            <w:r>
              <w:rPr>
                <w:rStyle w:val="29"/>
                <w:rFonts w:hint="default"/>
                <w:lang w:bidi="ar"/>
              </w:rPr>
              <w:t>块</w:t>
            </w:r>
            <w:r>
              <w:rPr>
                <w:rStyle w:val="28"/>
                <w:lang w:bidi="ar"/>
              </w:rPr>
              <w:t>600G 10K 2.5</w:t>
            </w:r>
            <w:r>
              <w:rPr>
                <w:rStyle w:val="29"/>
                <w:rFonts w:hint="default"/>
                <w:lang w:bidi="ar"/>
              </w:rPr>
              <w:t>寸</w:t>
            </w:r>
            <w:r>
              <w:rPr>
                <w:rStyle w:val="28"/>
                <w:lang w:bidi="ar"/>
              </w:rPr>
              <w:t xml:space="preserve"> SAS</w:t>
            </w:r>
            <w:r>
              <w:rPr>
                <w:rStyle w:val="29"/>
                <w:rFonts w:hint="default"/>
                <w:lang w:bidi="ar"/>
              </w:rPr>
              <w:t>硬盘</w:t>
            </w:r>
            <w:r>
              <w:rPr>
                <w:rStyle w:val="29"/>
                <w:rFonts w:hint="default"/>
                <w:lang w:bidi="ar"/>
              </w:rPr>
              <w:br w:type="textWrapping"/>
            </w:r>
            <w:r>
              <w:rPr>
                <w:rStyle w:val="29"/>
                <w:rFonts w:hint="default"/>
                <w:lang w:bidi="ar"/>
              </w:rPr>
              <w:t>阵列卡：</w:t>
            </w:r>
            <w:r>
              <w:rPr>
                <w:rStyle w:val="28"/>
                <w:lang w:bidi="ar"/>
              </w:rPr>
              <w:t>SAS_HBA</w:t>
            </w:r>
            <w:r>
              <w:rPr>
                <w:rStyle w:val="29"/>
                <w:rFonts w:hint="default"/>
                <w:lang w:bidi="ar"/>
              </w:rPr>
              <w:t>卡</w:t>
            </w:r>
            <w:r>
              <w:rPr>
                <w:rStyle w:val="28"/>
                <w:lang w:bidi="ar"/>
              </w:rPr>
              <w:t xml:space="preserve">, </w:t>
            </w:r>
            <w:r>
              <w:rPr>
                <w:rStyle w:val="29"/>
                <w:rFonts w:hint="default"/>
                <w:lang w:bidi="ar"/>
              </w:rPr>
              <w:t>支持</w:t>
            </w:r>
            <w:r>
              <w:rPr>
                <w:rStyle w:val="28"/>
                <w:lang w:bidi="ar"/>
              </w:rPr>
              <w:t>RAID 0/1/10</w:t>
            </w:r>
            <w:r>
              <w:rPr>
                <w:rStyle w:val="28"/>
                <w:lang w:bidi="ar"/>
              </w:rPr>
              <w:br w:type="textWrapping"/>
            </w:r>
            <w:r>
              <w:rPr>
                <w:rStyle w:val="28"/>
                <w:lang w:bidi="ar"/>
              </w:rPr>
              <w:t>PCIE</w:t>
            </w:r>
            <w:r>
              <w:rPr>
                <w:rStyle w:val="29"/>
                <w:rFonts w:hint="default"/>
                <w:lang w:bidi="ar"/>
              </w:rPr>
              <w:t>扩展：最大可支持</w:t>
            </w:r>
            <w:r>
              <w:rPr>
                <w:rStyle w:val="28"/>
                <w:lang w:bidi="ar"/>
              </w:rPr>
              <w:t>6</w:t>
            </w:r>
            <w:r>
              <w:rPr>
                <w:rStyle w:val="29"/>
                <w:rFonts w:hint="default"/>
                <w:lang w:bidi="ar"/>
              </w:rPr>
              <w:t>个</w:t>
            </w:r>
            <w:r>
              <w:rPr>
                <w:rStyle w:val="28"/>
                <w:lang w:bidi="ar"/>
              </w:rPr>
              <w:t>PCIE</w:t>
            </w:r>
            <w:r>
              <w:rPr>
                <w:rStyle w:val="29"/>
                <w:rFonts w:hint="default"/>
                <w:lang w:bidi="ar"/>
              </w:rPr>
              <w:t>扩展插槽</w:t>
            </w:r>
            <w:r>
              <w:rPr>
                <w:rStyle w:val="29"/>
                <w:rFonts w:hint="default"/>
                <w:lang w:bidi="ar"/>
              </w:rPr>
              <w:br w:type="textWrapping"/>
            </w:r>
            <w:r>
              <w:rPr>
                <w:rStyle w:val="29"/>
                <w:rFonts w:hint="default"/>
                <w:lang w:bidi="ar"/>
              </w:rPr>
              <w:t>网口：</w:t>
            </w:r>
            <w:r>
              <w:rPr>
                <w:rStyle w:val="28"/>
                <w:lang w:bidi="ar"/>
              </w:rPr>
              <w:t>2</w:t>
            </w:r>
            <w:r>
              <w:rPr>
                <w:rStyle w:val="29"/>
                <w:rFonts w:hint="default"/>
                <w:lang w:bidi="ar"/>
              </w:rPr>
              <w:t>个千兆电口</w:t>
            </w:r>
            <w:r>
              <w:rPr>
                <w:rStyle w:val="29"/>
                <w:rFonts w:hint="default"/>
                <w:lang w:bidi="ar"/>
              </w:rPr>
              <w:br w:type="textWrapping"/>
            </w:r>
            <w:r>
              <w:rPr>
                <w:rStyle w:val="29"/>
                <w:rFonts w:hint="default"/>
                <w:lang w:bidi="ar"/>
              </w:rPr>
              <w:t>其他接口：</w:t>
            </w:r>
            <w:r>
              <w:rPr>
                <w:rStyle w:val="28"/>
                <w:lang w:bidi="ar"/>
              </w:rPr>
              <w:t>1</w:t>
            </w:r>
            <w:r>
              <w:rPr>
                <w:rStyle w:val="29"/>
                <w:rFonts w:hint="default"/>
                <w:lang w:bidi="ar"/>
              </w:rPr>
              <w:t>个</w:t>
            </w:r>
            <w:r>
              <w:rPr>
                <w:rStyle w:val="28"/>
                <w:lang w:bidi="ar"/>
              </w:rPr>
              <w:t>RJ45</w:t>
            </w:r>
            <w:r>
              <w:rPr>
                <w:rStyle w:val="29"/>
                <w:rFonts w:hint="default"/>
                <w:lang w:bidi="ar"/>
              </w:rPr>
              <w:t>管理接口，</w:t>
            </w:r>
            <w:r>
              <w:rPr>
                <w:rStyle w:val="28"/>
                <w:lang w:bidi="ar"/>
              </w:rPr>
              <w:t>4</w:t>
            </w:r>
            <w:r>
              <w:rPr>
                <w:rStyle w:val="29"/>
                <w:rFonts w:hint="default"/>
                <w:lang w:bidi="ar"/>
              </w:rPr>
              <w:t>个</w:t>
            </w:r>
            <w:r>
              <w:rPr>
                <w:rStyle w:val="28"/>
                <w:lang w:bidi="ar"/>
              </w:rPr>
              <w:t>USB 3.0</w:t>
            </w:r>
            <w:r>
              <w:rPr>
                <w:rStyle w:val="29"/>
                <w:rFonts w:hint="default"/>
                <w:lang w:bidi="ar"/>
              </w:rPr>
              <w:t>接口，</w:t>
            </w:r>
            <w:r>
              <w:rPr>
                <w:rStyle w:val="28"/>
                <w:lang w:bidi="ar"/>
              </w:rPr>
              <w:t>1</w:t>
            </w:r>
            <w:r>
              <w:rPr>
                <w:rStyle w:val="29"/>
                <w:rFonts w:hint="default"/>
                <w:lang w:bidi="ar"/>
              </w:rPr>
              <w:t>个</w:t>
            </w:r>
            <w:r>
              <w:rPr>
                <w:rStyle w:val="28"/>
                <w:lang w:bidi="ar"/>
              </w:rPr>
              <w:t>VGA</w:t>
            </w:r>
            <w:r>
              <w:rPr>
                <w:rStyle w:val="29"/>
                <w:rFonts w:hint="default"/>
                <w:lang w:bidi="ar"/>
              </w:rPr>
              <w:t>接口</w:t>
            </w:r>
            <w:r>
              <w:rPr>
                <w:rStyle w:val="29"/>
                <w:rFonts w:hint="default"/>
                <w:lang w:bidi="ar"/>
              </w:rPr>
              <w:br w:type="textWrapping"/>
            </w:r>
            <w:r>
              <w:rPr>
                <w:rStyle w:val="29"/>
                <w:rFonts w:hint="default"/>
                <w:lang w:bidi="ar"/>
              </w:rPr>
              <w:t>电源：标配</w:t>
            </w:r>
            <w:r>
              <w:rPr>
                <w:rStyle w:val="28"/>
                <w:lang w:bidi="ar"/>
              </w:rPr>
              <w:t>550W</w:t>
            </w:r>
            <w:r>
              <w:rPr>
                <w:rStyle w:val="29"/>
                <w:rFonts w:hint="default"/>
                <w:lang w:bidi="ar"/>
              </w:rPr>
              <w:t>（</w:t>
            </w:r>
            <w:r>
              <w:rPr>
                <w:rStyle w:val="28"/>
                <w:lang w:bidi="ar"/>
              </w:rPr>
              <w:t>1+1</w:t>
            </w:r>
            <w:r>
              <w:rPr>
                <w:rStyle w:val="29"/>
                <w:rFonts w:hint="default"/>
                <w:lang w:bidi="ar"/>
              </w:rPr>
              <w:t>）高效铂金</w:t>
            </w:r>
            <w:r>
              <w:rPr>
                <w:rStyle w:val="28"/>
                <w:lang w:bidi="ar"/>
              </w:rPr>
              <w:t>CRPS</w:t>
            </w:r>
            <w:r>
              <w:rPr>
                <w:rStyle w:val="29"/>
                <w:rFonts w:hint="default"/>
                <w:lang w:bidi="ar"/>
              </w:rPr>
              <w:t>冗余电源</w:t>
            </w:r>
            <w:r>
              <w:rPr>
                <w:rStyle w:val="28"/>
                <w:lang w:bidi="ar"/>
              </w:rPr>
              <w:t xml:space="preserve"> </w:t>
            </w:r>
            <w:r>
              <w:rPr>
                <w:rStyle w:val="28"/>
                <w:lang w:bidi="ar"/>
              </w:rPr>
              <w:br w:type="textWrapping"/>
            </w:r>
            <w:r>
              <w:rPr>
                <w:rStyle w:val="29"/>
                <w:rFonts w:hint="default"/>
                <w:lang w:bidi="ar"/>
              </w:rPr>
              <w:t>机箱规格：</w:t>
            </w:r>
            <w:r>
              <w:rPr>
                <w:rStyle w:val="28"/>
                <w:lang w:bidi="ar"/>
              </w:rPr>
              <w:t>87.8mm(</w:t>
            </w:r>
            <w:r>
              <w:rPr>
                <w:rStyle w:val="29"/>
                <w:rFonts w:hint="default"/>
                <w:lang w:bidi="ar"/>
              </w:rPr>
              <w:t>高</w:t>
            </w:r>
            <w:r>
              <w:rPr>
                <w:rStyle w:val="28"/>
                <w:lang w:bidi="ar"/>
              </w:rPr>
              <w:t>)x 448mm(</w:t>
            </w:r>
            <w:r>
              <w:rPr>
                <w:rStyle w:val="29"/>
                <w:rFonts w:hint="default"/>
                <w:lang w:bidi="ar"/>
              </w:rPr>
              <w:t>宽</w:t>
            </w:r>
            <w:r>
              <w:rPr>
                <w:rStyle w:val="28"/>
                <w:lang w:bidi="ar"/>
              </w:rPr>
              <w:t>)x729.8mm(</w:t>
            </w:r>
            <w:r>
              <w:rPr>
                <w:rStyle w:val="29"/>
                <w:rFonts w:hint="default"/>
                <w:lang w:bidi="ar"/>
              </w:rPr>
              <w:t>深</w:t>
            </w:r>
            <w:r>
              <w:rPr>
                <w:rStyle w:val="28"/>
                <w:lang w:bidi="ar"/>
              </w:rPr>
              <w:t>)</w:t>
            </w:r>
            <w:r>
              <w:rPr>
                <w:rStyle w:val="28"/>
                <w:lang w:bidi="ar"/>
              </w:rPr>
              <w:br w:type="textWrapping"/>
            </w:r>
            <w:r>
              <w:rPr>
                <w:rStyle w:val="29"/>
                <w:rFonts w:hint="default"/>
                <w:lang w:bidi="ar"/>
              </w:rPr>
              <w:t>设备重量：约</w:t>
            </w:r>
            <w:r>
              <w:rPr>
                <w:rStyle w:val="28"/>
                <w:lang w:bidi="ar"/>
              </w:rPr>
              <w:t>26KG</w:t>
            </w:r>
            <w:r>
              <w:rPr>
                <w:rStyle w:val="29"/>
                <w:rFonts w:hint="default"/>
                <w:lang w:bidi="ar"/>
              </w:rPr>
              <w:t>（含导轨）</w:t>
            </w:r>
            <w:r>
              <w:rPr>
                <w:rStyle w:val="29"/>
                <w:rFonts w:hint="default"/>
                <w:lang w:bidi="ar"/>
              </w:rPr>
              <w:br w:type="textWrapping"/>
            </w:r>
            <w:r>
              <w:rPr>
                <w:rStyle w:val="29"/>
                <w:rFonts w:hint="default"/>
                <w:lang w:bidi="ar"/>
              </w:rPr>
              <w:t>操作系统：</w:t>
            </w:r>
            <w:r>
              <w:rPr>
                <w:rStyle w:val="28"/>
                <w:lang w:bidi="ar"/>
              </w:rPr>
              <w:t>Microsoft Windows Server 2016</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台</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Calibri"/>
                <w:color w:val="000000"/>
                <w:sz w:val="16"/>
                <w:szCs w:val="16"/>
              </w:rPr>
            </w:pPr>
            <w:r>
              <w:rPr>
                <w:rFonts w:cs="Calibri"/>
                <w:color w:val="000000"/>
                <w:kern w:val="0"/>
                <w:sz w:val="16"/>
                <w:szCs w:val="16"/>
                <w:lang w:bidi="ar"/>
              </w:rPr>
              <w:t>1</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Calibri"/>
                <w:color w:val="000000"/>
                <w:sz w:val="16"/>
                <w:szCs w:val="16"/>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Calibri"/>
                <w:color w:val="000000"/>
                <w:sz w:val="16"/>
                <w:szCs w:val="16"/>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用于部署第三方报警主机接入服务</w:t>
            </w:r>
          </w:p>
        </w:tc>
      </w:tr>
      <w:tr>
        <w:tblPrEx>
          <w:tblLayout w:type="fixed"/>
          <w:tblCellMar>
            <w:top w:w="15" w:type="dxa"/>
            <w:left w:w="15" w:type="dxa"/>
            <w:bottom w:w="15" w:type="dxa"/>
            <w:right w:w="15" w:type="dxa"/>
          </w:tblCellMar>
        </w:tblPrEx>
        <w:trPr>
          <w:trHeight w:val="459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3</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大屏液晶监视器（46寸、含底座支架）低亮，3.5mm拼缝</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双边拼缝：≤ 3.5 mm</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 xml:space="preserve">外观尺寸 1022.2 (W) × 576.8 (H) × 66.7 (D)  </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 xml:space="preserve">屏幕对角线 46寸  </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 xml:space="preserve">屏幕分辨率 1920 × 1080@60 Hz（向下兼容）  </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 xml:space="preserve">激活显示面积 1018.08(H) x 572.67(V) mm  </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 xml:space="preserve">宽高比 16:9  </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 xml:space="preserve">面板亮度 ≥ 500 cd/m2 </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对比度 4500：1（Typ.）（透射）</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 xml:space="preserve">刷新频率 60Hz  </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显示颜色16.7M（8-bit）</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 xml:space="preserve">观看视角 178°(水平)/ 178°(垂直) </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像素间距 0.53025x0.53025mm（HxV）</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点间距 0.17675x0.53025mm（HxV）</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 xml:space="preserve">最佳工作温度 0-40摄氏度  </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 xml:space="preserve">电源 AC-220V </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支持VGA输入、HDMI输入、DVI输入，工业标准设计，可支持系统升级。</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台</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12</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Calibri"/>
                <w:color w:val="000000"/>
                <w:sz w:val="16"/>
                <w:szCs w:val="16"/>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含底座支架的安装</w:t>
            </w:r>
          </w:p>
        </w:tc>
      </w:tr>
      <w:tr>
        <w:tblPrEx>
          <w:tblLayout w:type="fixed"/>
          <w:tblCellMar>
            <w:top w:w="15" w:type="dxa"/>
            <w:left w:w="15" w:type="dxa"/>
            <w:bottom w:w="15" w:type="dxa"/>
            <w:right w:w="15" w:type="dxa"/>
          </w:tblCellMar>
        </w:tblPrEx>
        <w:trPr>
          <w:trHeight w:val="42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4</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网络机柜</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2000*1000*600</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台</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Calibri"/>
                <w:color w:val="000000"/>
                <w:sz w:val="16"/>
                <w:szCs w:val="16"/>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包含6块搁板</w:t>
            </w:r>
          </w:p>
        </w:tc>
      </w:tr>
      <w:tr>
        <w:tblPrEx>
          <w:tblLayout w:type="fixed"/>
          <w:tblCellMar>
            <w:top w:w="15" w:type="dxa"/>
            <w:left w:w="15" w:type="dxa"/>
            <w:bottom w:w="15" w:type="dxa"/>
            <w:right w:w="15" w:type="dxa"/>
          </w:tblCellMar>
        </w:tblPrEx>
        <w:trPr>
          <w:trHeight w:val="54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5</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操作台PC</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I5 10400+16G +2THDD+23吋显示器+无线键鼠+2.1木质音箱。</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台</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5</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其中1台加配光刻机。</w:t>
            </w:r>
          </w:p>
        </w:tc>
      </w:tr>
      <w:tr>
        <w:tblPrEx>
          <w:tblLayout w:type="fixed"/>
          <w:tblCellMar>
            <w:top w:w="15" w:type="dxa"/>
            <w:left w:w="15" w:type="dxa"/>
            <w:bottom w:w="15" w:type="dxa"/>
            <w:right w:w="15" w:type="dxa"/>
          </w:tblCellMar>
        </w:tblPrEx>
        <w:trPr>
          <w:trHeight w:val="56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6</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超高清解码器</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5U 机箱+4 路DVI 输入+20 路HDMI 输出+单主控板+单电源</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支持H.265、H.264、MPEG4、MJPEG 等主流的编码格式</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支持PS、TS、ES、RTP、HIK 等主流封装格式</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支持ONVIF 协议接入设备解码</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大屏拼接</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最大支持20个显示屏的任意大屏拼接</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支持开窗和漫游功能</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窗口支持1/4/6/8/9/16 画面分割</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最大支持8 个预设场景，用户可以自定义每个场景电视墙布局</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支持场景预案</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视频编码输入</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采用H.264 视频压缩标准</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支持DVI 视频信号接入编码</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视频解码输出</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支持HDMI 输出显示</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支持1/4/6/8/9/16 画面分割显示</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最高支持1200W 高清视频解码</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最高160 路200W 高清视频解码能力</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台</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含12根5米HDMI高清线缆</w:t>
            </w:r>
          </w:p>
        </w:tc>
      </w:tr>
      <w:tr>
        <w:tblPrEx>
          <w:tblLayout w:type="fixed"/>
          <w:tblCellMar>
            <w:top w:w="15" w:type="dxa"/>
            <w:left w:w="15" w:type="dxa"/>
            <w:bottom w:w="15" w:type="dxa"/>
            <w:right w:w="15" w:type="dxa"/>
          </w:tblCellMar>
        </w:tblPrEx>
        <w:trPr>
          <w:trHeight w:val="4320" w:hRule="atLeast"/>
        </w:trPr>
        <w:tc>
          <w:tcPr>
            <w:tcW w:w="547"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7</w:t>
            </w:r>
          </w:p>
        </w:tc>
        <w:tc>
          <w:tcPr>
            <w:tcW w:w="736"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人脸识别一体机</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1、设备采用嵌入式系统，7英寸及以上，屏幕流明度不低于360cd/㎡。</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2、设备本地人脸库存储容量不少于50000张，本地卡存储容量不少于50000张，本地出入记录存储容量不少于50000条。</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4、设备支持在屏幕显示区域直接刷卡识别，支持IC卡，身份证物理卡号读取，CPU卡内容读取及开启/关闭NFC刷卡功能，支持人脸、刷卡（包括CPU卡、NFC、二代身份证等）和密码任意一种、任意两组组合、任意三组组合认证开门。</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5、人脸识别距离0.2~3m；人脸比对平均时间≤0.175s；人脸识别误识率≤0.01%的条件下，准确率应99.9%；支持在0.001lux低照度无补光环境下正常实现人脸识别看，人脸识别距离可自定义设置；支持防假体攻击功能，对视频、电子照片、打印照片中的人脸应不能进行人脸识别。</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套</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000000"/>
                <w:sz w:val="16"/>
                <w:szCs w:val="16"/>
                <w:lang w:val="en-US" w:eastAsia="zh-CN"/>
              </w:rPr>
            </w:pPr>
            <w:r>
              <w:rPr>
                <w:rFonts w:hint="eastAsia" w:ascii="微软雅黑" w:hAnsi="微软雅黑" w:eastAsia="微软雅黑" w:cs="微软雅黑"/>
                <w:color w:val="000000"/>
                <w:sz w:val="16"/>
                <w:szCs w:val="16"/>
                <w:lang w:val="en-US" w:eastAsia="zh-CN"/>
              </w:rPr>
              <w:t>11</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大楼更换</w:t>
            </w:r>
            <w:r>
              <w:rPr>
                <w:rFonts w:hint="eastAsia" w:ascii="微软雅黑" w:hAnsi="微软雅黑" w:eastAsia="微软雅黑" w:cs="微软雅黑"/>
                <w:color w:val="000000"/>
                <w:kern w:val="0"/>
                <w:sz w:val="16"/>
                <w:szCs w:val="16"/>
                <w:lang w:val="en-US" w:eastAsia="zh-CN" w:bidi="ar"/>
              </w:rPr>
              <w:t>11</w:t>
            </w:r>
            <w:r>
              <w:rPr>
                <w:rFonts w:hint="eastAsia" w:ascii="微软雅黑" w:hAnsi="微软雅黑" w:eastAsia="微软雅黑" w:cs="微软雅黑"/>
                <w:color w:val="000000"/>
                <w:kern w:val="0"/>
                <w:sz w:val="16"/>
                <w:szCs w:val="16"/>
                <w:lang w:bidi="ar"/>
              </w:rPr>
              <w:t>道门门禁输入</w:t>
            </w:r>
          </w:p>
        </w:tc>
      </w:tr>
      <w:tr>
        <w:tblPrEx>
          <w:tblLayout w:type="fixed"/>
          <w:tblCellMar>
            <w:top w:w="15" w:type="dxa"/>
            <w:left w:w="15" w:type="dxa"/>
            <w:bottom w:w="15" w:type="dxa"/>
            <w:right w:w="15" w:type="dxa"/>
          </w:tblCellMar>
        </w:tblPrEx>
        <w:trPr>
          <w:trHeight w:val="1350" w:hRule="atLeast"/>
        </w:trPr>
        <w:tc>
          <w:tcPr>
            <w:tcW w:w="54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8</w:t>
            </w:r>
          </w:p>
        </w:tc>
        <w:tc>
          <w:tcPr>
            <w:tcW w:w="736"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定制开发费用</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报警设备对接</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对接英安特NT316或者308</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博世  ICP-CMS40-CHI、霍尼韦尔2316+IPM23。复用项目定制成果物，集成驱动和资源包，已支持实现报警信息接收，定制实现报警主机回控，包括远程撤布防功能，</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人/天</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Calibri"/>
                <w:color w:val="000000"/>
                <w:sz w:val="16"/>
                <w:szCs w:val="16"/>
              </w:rPr>
            </w:pPr>
            <w:r>
              <w:rPr>
                <w:rFonts w:cs="Calibri"/>
                <w:color w:val="000000"/>
                <w:kern w:val="0"/>
                <w:sz w:val="16"/>
                <w:szCs w:val="16"/>
                <w:lang w:bidi="ar"/>
              </w:rPr>
              <w:t>5</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Calibri"/>
                <w:color w:val="000000"/>
                <w:sz w:val="16"/>
                <w:szCs w:val="16"/>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Calibri"/>
                <w:color w:val="000000"/>
                <w:sz w:val="16"/>
                <w:szCs w:val="16"/>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需对接博世、英安特、霍尼韦尔、枫叶等报警主机</w:t>
            </w:r>
          </w:p>
        </w:tc>
      </w:tr>
      <w:tr>
        <w:tblPrEx>
          <w:tblLayout w:type="fixed"/>
          <w:tblCellMar>
            <w:top w:w="15" w:type="dxa"/>
            <w:left w:w="15" w:type="dxa"/>
            <w:bottom w:w="15" w:type="dxa"/>
            <w:right w:w="15" w:type="dxa"/>
          </w:tblCellMar>
        </w:tblPrEx>
        <w:trPr>
          <w:trHeight w:val="840" w:hRule="atLeast"/>
        </w:trPr>
        <w:tc>
          <w:tcPr>
            <w:tcW w:w="547"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73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526" w:type="dxa"/>
            <w:tcBorders>
              <w:top w:val="single" w:color="000000" w:sz="4" w:space="0"/>
              <w:left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702"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门禁系统对接</w:t>
            </w:r>
          </w:p>
        </w:tc>
        <w:tc>
          <w:tcPr>
            <w:tcW w:w="4089"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对接讯美，丽泽，金凯，阿兰德门禁平台，实现门禁系统报警信息接收，联动视频弹窗功能。</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人/天</w:t>
            </w:r>
          </w:p>
        </w:tc>
        <w:tc>
          <w:tcPr>
            <w:tcW w:w="586"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cs="Calibri"/>
                <w:color w:val="000000"/>
                <w:sz w:val="16"/>
                <w:szCs w:val="16"/>
              </w:rPr>
            </w:pPr>
            <w:r>
              <w:rPr>
                <w:rFonts w:cs="Calibri"/>
                <w:color w:val="000000"/>
                <w:kern w:val="0"/>
                <w:sz w:val="16"/>
                <w:szCs w:val="16"/>
                <w:lang w:bidi="ar"/>
              </w:rPr>
              <w:t>5</w:t>
            </w:r>
          </w:p>
        </w:tc>
        <w:tc>
          <w:tcPr>
            <w:tcW w:w="2103" w:type="dxa"/>
            <w:tcBorders>
              <w:top w:val="single" w:color="000000" w:sz="4" w:space="0"/>
              <w:left w:val="single" w:color="000000" w:sz="4" w:space="0"/>
              <w:right w:val="single" w:color="000000" w:sz="4" w:space="0"/>
            </w:tcBorders>
            <w:shd w:val="clear" w:color="auto" w:fill="auto"/>
            <w:vAlign w:val="center"/>
          </w:tcPr>
          <w:p>
            <w:pPr>
              <w:jc w:val="center"/>
              <w:rPr>
                <w:rFonts w:cs="Calibri"/>
                <w:color w:val="000000"/>
                <w:sz w:val="16"/>
                <w:szCs w:val="16"/>
              </w:rPr>
            </w:pPr>
          </w:p>
        </w:tc>
        <w:tc>
          <w:tcPr>
            <w:tcW w:w="534" w:type="dxa"/>
            <w:tcBorders>
              <w:top w:val="single" w:color="000000" w:sz="4" w:space="0"/>
              <w:left w:val="single" w:color="000000" w:sz="4" w:space="0"/>
              <w:right w:val="single" w:color="000000" w:sz="4" w:space="0"/>
            </w:tcBorders>
            <w:shd w:val="clear" w:color="auto" w:fill="auto"/>
            <w:vAlign w:val="center"/>
          </w:tcPr>
          <w:p>
            <w:pPr>
              <w:jc w:val="center"/>
              <w:rPr>
                <w:rFonts w:cs="Calibri"/>
                <w:color w:val="000000"/>
                <w:sz w:val="16"/>
                <w:szCs w:val="16"/>
              </w:rPr>
            </w:pPr>
          </w:p>
        </w:tc>
        <w:tc>
          <w:tcPr>
            <w:tcW w:w="1015"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需对接讯美，丽泽，金凯，阿兰德等联动门信号</w:t>
            </w:r>
          </w:p>
        </w:tc>
      </w:tr>
      <w:tr>
        <w:tblPrEx>
          <w:tblLayout w:type="fixed"/>
          <w:tblCellMar>
            <w:top w:w="15" w:type="dxa"/>
            <w:left w:w="15" w:type="dxa"/>
            <w:bottom w:w="15" w:type="dxa"/>
            <w:right w:w="15" w:type="dxa"/>
          </w:tblCellMar>
        </w:tblPrEx>
        <w:trPr>
          <w:trHeight w:val="5400" w:hRule="atLeast"/>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9</w:t>
            </w:r>
          </w:p>
        </w:tc>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消防联动模块</w:t>
            </w:r>
          </w:p>
        </w:tc>
        <w:tc>
          <w:tcPr>
            <w:tcW w:w="52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70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用户信息传输装置</w:t>
            </w:r>
          </w:p>
        </w:tc>
        <w:tc>
          <w:tcPr>
            <w:tcW w:w="408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 xml:space="preserve">（1） 2 路 RS-232 通讯接口、 2 路 RS-485 通讯接口，1 路 CAN 通讯接口、 1 路 RJ45 网络通讯口, </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（2） 手动报警：具有手动火警按钮，可以向管理平台上传人工火灾报警信息 ；</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（3） 断网续传：网络断网恢复后，接续上传断网期间的数据；</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（4） 值班查岗：支持值班查岗功能；</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（5） 1路开关量输入，2路常开输出</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（6） 1 个以太网接口，能够对目标 IP，目标机号，本机机号设置；</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（7） 支持查找历史记录：历史火警、历史请求/反馈、历史故障、历史操作各 1000 条。</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（8） 提供液晶显示（128x64），提供实时时钟；</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（9） 蓄电池备用供电（待机 24 小时以上）</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（10） 交流输入电压 220V 50Hz</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（11） 直流备电 12V 7Ah 铅酸电池一节</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（12） 工作温度 0℃～+50℃</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（13） 工作湿度 ≤95%RH</w:t>
            </w:r>
          </w:p>
        </w:tc>
        <w:tc>
          <w:tcPr>
            <w:tcW w:w="54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套</w:t>
            </w:r>
          </w:p>
        </w:tc>
        <w:tc>
          <w:tcPr>
            <w:tcW w:w="58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cs="Calibri"/>
                <w:color w:val="000000"/>
                <w:sz w:val="16"/>
                <w:szCs w:val="16"/>
              </w:rPr>
            </w:pPr>
            <w:r>
              <w:rPr>
                <w:rFonts w:hint="eastAsia" w:cs="Calibri"/>
                <w:color w:val="000000"/>
                <w:kern w:val="0"/>
                <w:sz w:val="16"/>
                <w:szCs w:val="16"/>
                <w:lang w:bidi="ar"/>
              </w:rPr>
              <w:t>13</w:t>
            </w:r>
          </w:p>
        </w:tc>
        <w:tc>
          <w:tcPr>
            <w:tcW w:w="2103"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cs="Calibri"/>
                <w:color w:val="000000"/>
                <w:sz w:val="16"/>
                <w:szCs w:val="16"/>
              </w:rPr>
            </w:pPr>
          </w:p>
        </w:tc>
        <w:tc>
          <w:tcPr>
            <w:tcW w:w="534"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cs="Calibri"/>
                <w:color w:val="000000"/>
                <w:sz w:val="16"/>
                <w:szCs w:val="16"/>
              </w:rPr>
            </w:pPr>
          </w:p>
        </w:tc>
        <w:tc>
          <w:tcPr>
            <w:tcW w:w="101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网点对接消防主机，每个网点一套，预留扩展，必选设备，据实结算</w:t>
            </w:r>
          </w:p>
        </w:tc>
      </w:tr>
      <w:tr>
        <w:tblPrEx>
          <w:tblLayout w:type="fixed"/>
          <w:tblCellMar>
            <w:top w:w="15" w:type="dxa"/>
            <w:left w:w="15" w:type="dxa"/>
            <w:bottom w:w="15" w:type="dxa"/>
            <w:right w:w="15" w:type="dxa"/>
          </w:tblCellMar>
        </w:tblPrEx>
        <w:trPr>
          <w:trHeight w:val="2160"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526" w:type="dxa"/>
            <w:tcBorders>
              <w:top w:val="single" w:color="auto" w:sz="4" w:space="0"/>
              <w:left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702" w:type="dxa"/>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并行处理机</w:t>
            </w:r>
          </w:p>
        </w:tc>
        <w:tc>
          <w:tcPr>
            <w:tcW w:w="4089" w:type="dxa"/>
            <w:tcBorders>
              <w:top w:val="single" w:color="auto" w:sz="4" w:space="0"/>
              <w:left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通讯方式 RS-485通信和RS-232通信</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接口 并行26pin接口</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工作温度 -10 ~ 55 ℃</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工作湿度 5% ~ 95% RH（无凝露）</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供电电压 DC 12 V或DC 24 V</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重量 150 g</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防护等级 IP30</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执行标准 Q/HKD 016—202</w:t>
            </w:r>
          </w:p>
        </w:tc>
        <w:tc>
          <w:tcPr>
            <w:tcW w:w="547" w:type="dxa"/>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套</w:t>
            </w:r>
          </w:p>
        </w:tc>
        <w:tc>
          <w:tcPr>
            <w:tcW w:w="586" w:type="dxa"/>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cs="Calibri"/>
                <w:color w:val="000000"/>
                <w:sz w:val="16"/>
                <w:szCs w:val="16"/>
              </w:rPr>
            </w:pPr>
            <w:r>
              <w:rPr>
                <w:rFonts w:cs="Calibri"/>
                <w:color w:val="000000"/>
                <w:kern w:val="0"/>
                <w:sz w:val="16"/>
                <w:szCs w:val="16"/>
                <w:lang w:bidi="ar"/>
              </w:rPr>
              <w:t>10</w:t>
            </w:r>
          </w:p>
        </w:tc>
        <w:tc>
          <w:tcPr>
            <w:tcW w:w="2103" w:type="dxa"/>
            <w:tcBorders>
              <w:top w:val="single" w:color="auto" w:sz="4" w:space="0"/>
              <w:left w:val="single" w:color="000000" w:sz="4" w:space="0"/>
              <w:right w:val="single" w:color="000000" w:sz="4" w:space="0"/>
            </w:tcBorders>
            <w:shd w:val="clear" w:color="auto" w:fill="auto"/>
            <w:vAlign w:val="center"/>
          </w:tcPr>
          <w:p>
            <w:pPr>
              <w:jc w:val="center"/>
              <w:rPr>
                <w:rFonts w:cs="Calibri"/>
                <w:color w:val="000000"/>
                <w:sz w:val="16"/>
                <w:szCs w:val="16"/>
              </w:rPr>
            </w:pPr>
          </w:p>
        </w:tc>
        <w:tc>
          <w:tcPr>
            <w:tcW w:w="534" w:type="dxa"/>
            <w:tcBorders>
              <w:top w:val="single" w:color="auto" w:sz="4" w:space="0"/>
              <w:left w:val="single" w:color="000000" w:sz="4" w:space="0"/>
              <w:right w:val="single" w:color="000000" w:sz="4" w:space="0"/>
            </w:tcBorders>
            <w:shd w:val="clear" w:color="auto" w:fill="auto"/>
            <w:vAlign w:val="center"/>
          </w:tcPr>
          <w:p>
            <w:pPr>
              <w:jc w:val="center"/>
              <w:rPr>
                <w:rFonts w:cs="Calibri"/>
                <w:color w:val="000000"/>
                <w:sz w:val="16"/>
                <w:szCs w:val="16"/>
              </w:rPr>
            </w:pPr>
          </w:p>
        </w:tc>
        <w:tc>
          <w:tcPr>
            <w:tcW w:w="1015" w:type="dxa"/>
            <w:tcBorders>
              <w:top w:val="single" w:color="auto"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有些消防主机需要此模块才能连接，选配设备</w:t>
            </w:r>
          </w:p>
        </w:tc>
      </w:tr>
      <w:tr>
        <w:tblPrEx>
          <w:tblLayout w:type="fixed"/>
          <w:tblCellMar>
            <w:top w:w="15" w:type="dxa"/>
            <w:left w:w="15" w:type="dxa"/>
            <w:bottom w:w="15" w:type="dxa"/>
            <w:right w:w="15" w:type="dxa"/>
          </w:tblCellMar>
        </w:tblPrEx>
        <w:trPr>
          <w:trHeight w:val="28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color w:val="000000"/>
                <w:sz w:val="16"/>
                <w:szCs w:val="16"/>
              </w:rPr>
            </w:pPr>
            <w:r>
              <w:rPr>
                <w:rFonts w:hint="eastAsia" w:ascii="微软雅黑" w:hAnsi="微软雅黑" w:eastAsia="微软雅黑" w:cs="微软雅黑"/>
                <w:b/>
                <w:color w:val="000000"/>
                <w:kern w:val="0"/>
                <w:sz w:val="16"/>
                <w:szCs w:val="16"/>
                <w:lang w:bidi="ar"/>
              </w:rPr>
              <w:t>A1</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color w:val="000000"/>
                <w:sz w:val="16"/>
                <w:szCs w:val="16"/>
              </w:rPr>
            </w:pPr>
            <w:r>
              <w:rPr>
                <w:rFonts w:hint="eastAsia" w:ascii="微软雅黑" w:hAnsi="微软雅黑" w:eastAsia="微软雅黑" w:cs="微软雅黑"/>
                <w:b/>
                <w:color w:val="000000"/>
                <w:kern w:val="0"/>
                <w:sz w:val="16"/>
                <w:szCs w:val="16"/>
                <w:lang w:bidi="ar"/>
              </w:rPr>
              <w:t>设备小计</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color w:val="000000"/>
                <w:sz w:val="16"/>
                <w:szCs w:val="16"/>
              </w:rPr>
            </w:pP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微软雅黑" w:hAnsi="微软雅黑" w:eastAsia="微软雅黑" w:cs="微软雅黑"/>
                <w:b/>
                <w:color w:val="000000"/>
                <w:sz w:val="16"/>
                <w:szCs w:val="16"/>
              </w:rPr>
            </w:pP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6"/>
                <w:szCs w:val="16"/>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Calibri"/>
                <w:b/>
                <w:color w:val="000000"/>
                <w:sz w:val="16"/>
                <w:szCs w:val="16"/>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Calibri"/>
                <w:b/>
                <w:color w:val="000000"/>
                <w:sz w:val="16"/>
                <w:szCs w:val="16"/>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Calibri"/>
                <w:b/>
                <w:color w:val="000000"/>
                <w:sz w:val="16"/>
                <w:szCs w:val="16"/>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color w:val="FF0000"/>
                <w:sz w:val="16"/>
                <w:szCs w:val="16"/>
              </w:rPr>
            </w:pPr>
          </w:p>
        </w:tc>
      </w:tr>
      <w:tr>
        <w:tblPrEx>
          <w:tblLayout w:type="fixed"/>
          <w:tblCellMar>
            <w:top w:w="15" w:type="dxa"/>
            <w:left w:w="15" w:type="dxa"/>
            <w:bottom w:w="15" w:type="dxa"/>
            <w:right w:w="15" w:type="dxa"/>
          </w:tblCellMar>
        </w:tblPrEx>
        <w:trPr>
          <w:trHeight w:val="249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10</w:t>
            </w:r>
          </w:p>
        </w:tc>
        <w:tc>
          <w:tcPr>
            <w:tcW w:w="736"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综合安防管理平台</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系统管理</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系统最大安保区域数量：2万。</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系统最大组织数量：2万。</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系统最大用户数量：20万。</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系统最大同时在线用户数量：5000。</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系统最大角色数量：1万。</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系统最大人员数量：30万。</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卡片数量：30万。</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套</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提供系统内的组织、人员、车辆、用户、角色、认证、区域等的配置和管理。已包含：图上监控、事件联动、视频网管。</w:t>
            </w:r>
          </w:p>
        </w:tc>
      </w:tr>
      <w:tr>
        <w:tblPrEx>
          <w:tblLayout w:type="fixed"/>
          <w:tblCellMar>
            <w:top w:w="15" w:type="dxa"/>
            <w:left w:w="15" w:type="dxa"/>
            <w:bottom w:w="15" w:type="dxa"/>
            <w:right w:w="15" w:type="dxa"/>
          </w:tblCellMar>
        </w:tblPrEx>
        <w:trPr>
          <w:trHeight w:val="675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11</w:t>
            </w:r>
          </w:p>
        </w:tc>
        <w:tc>
          <w:tcPr>
            <w:tcW w:w="736"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视频监控</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1、支持监控点数量10W个（超过5000需要分布式部署）；</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2、支持并发取流带宽2000M（超过600M需要分布式部署） ；</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3、解码能力：在i7、GTX1070的PC上，解码H264、720P的视频36路；</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3、支持电视墙最大场景数128个；</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4、单个电视墙最大支持数量25*25个；</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5、单个窗口最大分割数量16个。</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2000</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视频监控应用提供视频管理服务，支持编码设备通过设备网络SDK协议、Ehome协议、ISUP5.0协议、GB28181协议、ONVIF协议、大华设备网络SDK协议、萤石协议接入平台，实现视频预览、录像回放、视频上墙、视频事件监控服务能力，并且在网络带宽不足、有流量限制的网络环境下可以通过以图片替代视频的模式提供监控服务。</w:t>
            </w:r>
          </w:p>
        </w:tc>
      </w:tr>
      <w:tr>
        <w:tblPrEx>
          <w:tblLayout w:type="fixed"/>
          <w:tblCellMar>
            <w:top w:w="15" w:type="dxa"/>
            <w:left w:w="15" w:type="dxa"/>
            <w:bottom w:w="15" w:type="dxa"/>
            <w:right w:w="15" w:type="dxa"/>
          </w:tblCellMar>
        </w:tblPrEx>
        <w:trPr>
          <w:trHeight w:val="43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12</w:t>
            </w:r>
          </w:p>
        </w:tc>
        <w:tc>
          <w:tcPr>
            <w:tcW w:w="73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门禁管理</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1、支持最大门禁点数量2万个；</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2、门禁权限下发的性能（单个门禁点）：</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卡片：15-35张/秒；</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人脸：1-2张/秒；</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人脸模型：100张/秒；（依赖中心建模服务器）；</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3、权限并发下载路数：单台服务器100路，最大可扩展至1000路；</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4、门禁事件处理（单台服务器）：</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带图片：100条/秒；</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不带图片：1000条/秒；</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5、事件最大存储数量：5000万条。</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门</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150</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基础门禁管理通过接入多种门禁设备，利用卡片、人脸、指纹介质，实现人员身份识别、出入管控等智能应用，主要提供门禁权限管理、事件管理、门禁状态查看、门禁远程控制、人员出入记录实时展示含150路路数授权</w:t>
            </w:r>
          </w:p>
        </w:tc>
      </w:tr>
      <w:tr>
        <w:tblPrEx>
          <w:tblLayout w:type="fixed"/>
          <w:tblCellMar>
            <w:top w:w="15" w:type="dxa"/>
            <w:left w:w="15" w:type="dxa"/>
            <w:bottom w:w="15" w:type="dxa"/>
            <w:right w:w="15" w:type="dxa"/>
          </w:tblCellMar>
        </w:tblPrEx>
        <w:trPr>
          <w:trHeight w:val="127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13</w:t>
            </w:r>
          </w:p>
        </w:tc>
        <w:tc>
          <w:tcPr>
            <w:tcW w:w="73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IP对讲</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1、支持报警盒、管理机、虚拟对讲终端、电话网关资源的统一管理；支持通过以主动发现方式添加IP对讲设备到平台；</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2、支持配置报警盒的呼叫顺序；支持同步报警盒的信息到管理机。</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200</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含200路路数授权</w:t>
            </w:r>
          </w:p>
        </w:tc>
      </w:tr>
      <w:tr>
        <w:tblPrEx>
          <w:tblLayout w:type="fixed"/>
          <w:tblCellMar>
            <w:top w:w="15" w:type="dxa"/>
            <w:left w:w="15" w:type="dxa"/>
            <w:bottom w:w="15" w:type="dxa"/>
            <w:right w:w="15" w:type="dxa"/>
          </w:tblCellMar>
        </w:tblPrEx>
        <w:trPr>
          <w:trHeight w:val="10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14</w:t>
            </w:r>
          </w:p>
        </w:tc>
        <w:tc>
          <w:tcPr>
            <w:tcW w:w="73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入侵报警</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1、支持报警主机管理数量：10000；</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2、支持管理最大防区数量：50000；</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3、支持报警记录最大存储数量100W条。</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1200</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含1200路路数授权品牌：、博士、霍尼韦尔、英安特</w:t>
            </w:r>
          </w:p>
        </w:tc>
      </w:tr>
      <w:tr>
        <w:tblPrEx>
          <w:tblLayout w:type="fixed"/>
          <w:tblCellMar>
            <w:top w:w="15" w:type="dxa"/>
            <w:left w:w="15" w:type="dxa"/>
            <w:bottom w:w="15" w:type="dxa"/>
            <w:right w:w="15" w:type="dxa"/>
          </w:tblCellMar>
        </w:tblPrEx>
        <w:trPr>
          <w:trHeight w:val="336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15</w:t>
            </w:r>
          </w:p>
        </w:tc>
        <w:tc>
          <w:tcPr>
            <w:tcW w:w="73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微软雅黑" w:hAnsi="微软雅黑" w:eastAsia="微软雅黑" w:cs="微软雅黑"/>
                <w:color w:val="000000"/>
                <w:sz w:val="16"/>
                <w:szCs w:val="16"/>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设备网络管理</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1、单节点在线状态巡检效率不低于1000路/小时；</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2、单节点录像情况巡检效率不低于1000路/小时；</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3550</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设备网络管理应用，对接入平台的视频设备，门禁设备，报警主机设备，可视对讲设备进行在线巡检，及时发现故障设备和掉线设备，使运维工作更加高效</w:t>
            </w:r>
          </w:p>
        </w:tc>
      </w:tr>
      <w:tr>
        <w:tblPrEx>
          <w:tblLayout w:type="fixed"/>
          <w:tblCellMar>
            <w:top w:w="15" w:type="dxa"/>
            <w:left w:w="15" w:type="dxa"/>
            <w:bottom w:w="15" w:type="dxa"/>
            <w:right w:w="15" w:type="dxa"/>
          </w:tblCellMar>
        </w:tblPrEx>
        <w:trPr>
          <w:trHeight w:val="162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16</w:t>
            </w:r>
          </w:p>
        </w:tc>
        <w:tc>
          <w:tcPr>
            <w:tcW w:w="73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微软雅黑" w:hAnsi="微软雅黑" w:eastAsia="微软雅黑" w:cs="微软雅黑"/>
                <w:color w:val="000000"/>
                <w:sz w:val="16"/>
                <w:szCs w:val="16"/>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火灾报警监测</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 xml:space="preserve">1、按照前端路数限制，不需要选择设备 示例1：项目有1个用传、50个烟感、50个手报；路数选择100； 示例2：项目有1个LORA网关、3个烟感、3个手报；路数选择6 </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2、支持的设备有用户信息传输装置、火灾报警控制器、NB烟感及其前端设备接入</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1000</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b/>
                <w:color w:val="FF0000"/>
                <w:sz w:val="18"/>
                <w:szCs w:val="18"/>
              </w:rPr>
            </w:pPr>
            <w:r>
              <w:rPr>
                <w:rFonts w:hint="eastAsia" w:ascii="微软雅黑" w:hAnsi="微软雅黑" w:eastAsia="微软雅黑" w:cs="微软雅黑"/>
                <w:b/>
                <w:color w:val="FF0000"/>
                <w:kern w:val="0"/>
                <w:sz w:val="18"/>
                <w:szCs w:val="18"/>
                <w:lang w:bidi="ar"/>
              </w:rPr>
              <w:t>智慧消防软件模块，可接入原有消控主机进行联网、可接入智慧用电设备</w:t>
            </w:r>
          </w:p>
        </w:tc>
      </w:tr>
      <w:tr>
        <w:tblPrEx>
          <w:tblLayout w:type="fixed"/>
          <w:tblCellMar>
            <w:top w:w="15" w:type="dxa"/>
            <w:left w:w="15" w:type="dxa"/>
            <w:bottom w:w="15" w:type="dxa"/>
            <w:right w:w="15" w:type="dxa"/>
          </w:tblCellMar>
        </w:tblPrEx>
        <w:trPr>
          <w:trHeight w:val="81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17</w:t>
            </w:r>
          </w:p>
        </w:tc>
        <w:tc>
          <w:tcPr>
            <w:tcW w:w="73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微软雅黑" w:hAnsi="微软雅黑" w:eastAsia="微软雅黑" w:cs="微软雅黑"/>
                <w:color w:val="000000"/>
                <w:sz w:val="16"/>
                <w:szCs w:val="16"/>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消防视频水电气监测</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支持对视频图像火灾报警监测、可燃气体监测（NB燃气、433燃气）、电气火灾监测、消防水系统监测、灭火器监测、充电桩监测</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套</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微软雅黑" w:hAnsi="微软雅黑" w:eastAsia="微软雅黑" w:cs="微软雅黑"/>
                <w:b/>
                <w:color w:val="FF0000"/>
                <w:sz w:val="18"/>
                <w:szCs w:val="18"/>
              </w:rPr>
            </w:pPr>
          </w:p>
        </w:tc>
      </w:tr>
      <w:tr>
        <w:tblPrEx>
          <w:tblLayout w:type="fixed"/>
          <w:tblCellMar>
            <w:top w:w="15" w:type="dxa"/>
            <w:left w:w="15" w:type="dxa"/>
            <w:bottom w:w="15" w:type="dxa"/>
            <w:right w:w="15" w:type="dxa"/>
          </w:tblCellMar>
        </w:tblPrEx>
        <w:trPr>
          <w:trHeight w:val="54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18</w:t>
            </w:r>
          </w:p>
        </w:tc>
        <w:tc>
          <w:tcPr>
            <w:tcW w:w="73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微软雅黑" w:hAnsi="微软雅黑" w:eastAsia="微软雅黑" w:cs="微软雅黑"/>
                <w:color w:val="000000"/>
                <w:sz w:val="16"/>
                <w:szCs w:val="16"/>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消防工作台</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控制消防工作台模块，消控室工作人员在工作台中可查看报警预警信息并进行处理</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套</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微软雅黑" w:hAnsi="微软雅黑" w:eastAsia="微软雅黑" w:cs="微软雅黑"/>
                <w:b/>
                <w:color w:val="FF0000"/>
                <w:sz w:val="18"/>
                <w:szCs w:val="18"/>
              </w:rPr>
            </w:pPr>
          </w:p>
        </w:tc>
      </w:tr>
      <w:tr>
        <w:tblPrEx>
          <w:tblLayout w:type="fixed"/>
          <w:tblCellMar>
            <w:top w:w="15" w:type="dxa"/>
            <w:left w:w="15" w:type="dxa"/>
            <w:bottom w:w="15" w:type="dxa"/>
            <w:right w:w="15" w:type="dxa"/>
          </w:tblCellMar>
        </w:tblPrEx>
        <w:trPr>
          <w:trHeight w:val="285" w:hRule="atLeast"/>
        </w:trPr>
        <w:tc>
          <w:tcPr>
            <w:tcW w:w="547"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19</w:t>
            </w:r>
          </w:p>
        </w:tc>
        <w:tc>
          <w:tcPr>
            <w:tcW w:w="73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526" w:type="dxa"/>
            <w:tcBorders>
              <w:top w:val="single" w:color="000000" w:sz="4" w:space="0"/>
              <w:left w:val="single" w:color="000000" w:sz="4" w:space="0"/>
              <w:right w:val="single" w:color="000000" w:sz="4" w:space="0"/>
            </w:tcBorders>
            <w:shd w:val="clear" w:color="auto" w:fill="auto"/>
            <w:vAlign w:val="center"/>
          </w:tcPr>
          <w:p>
            <w:pPr>
              <w:jc w:val="left"/>
              <w:rPr>
                <w:rFonts w:ascii="微软雅黑" w:hAnsi="微软雅黑" w:eastAsia="微软雅黑" w:cs="微软雅黑"/>
                <w:color w:val="000000"/>
                <w:sz w:val="16"/>
                <w:szCs w:val="16"/>
              </w:rPr>
            </w:pPr>
          </w:p>
        </w:tc>
        <w:tc>
          <w:tcPr>
            <w:tcW w:w="702"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消防设备网关</w:t>
            </w:r>
          </w:p>
        </w:tc>
        <w:tc>
          <w:tcPr>
            <w:tcW w:w="4089"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对消防的设备网络、故障等信息进行管理</w:t>
            </w:r>
          </w:p>
        </w:tc>
        <w:tc>
          <w:tcPr>
            <w:tcW w:w="547"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套</w:t>
            </w:r>
          </w:p>
        </w:tc>
        <w:tc>
          <w:tcPr>
            <w:tcW w:w="586"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w:t>
            </w:r>
          </w:p>
        </w:tc>
        <w:tc>
          <w:tcPr>
            <w:tcW w:w="2103" w:type="dxa"/>
            <w:tcBorders>
              <w:top w:val="single" w:color="000000" w:sz="4" w:space="0"/>
              <w:left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534" w:type="dxa"/>
            <w:tcBorders>
              <w:top w:val="single" w:color="000000" w:sz="4" w:space="0"/>
              <w:left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微软雅黑" w:hAnsi="微软雅黑" w:eastAsia="微软雅黑" w:cs="微软雅黑"/>
                <w:b/>
                <w:color w:val="FF0000"/>
                <w:sz w:val="18"/>
                <w:szCs w:val="18"/>
              </w:rPr>
            </w:pPr>
          </w:p>
        </w:tc>
      </w:tr>
      <w:tr>
        <w:tblPrEx>
          <w:tblLayout w:type="fixed"/>
          <w:tblCellMar>
            <w:top w:w="15" w:type="dxa"/>
            <w:left w:w="15" w:type="dxa"/>
            <w:bottom w:w="15" w:type="dxa"/>
            <w:right w:w="15" w:type="dxa"/>
          </w:tblCellMar>
        </w:tblPrEx>
        <w:trPr>
          <w:trHeight w:val="162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20</w:t>
            </w:r>
          </w:p>
        </w:tc>
        <w:tc>
          <w:tcPr>
            <w:tcW w:w="736"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平台预留接口功能</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textAlignment w:val="bottom"/>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需预留安保信息化管理（资产管理、检查考核、组织信息管理、合同管理）、智能巡检系统（巡检管理及任务统计）、电子地图、培训考试、行为分析、访客系统、应急管理、交接班、款箱交接、业务库以及防爆安全检查系统等扩展接口，启用这些扩展功能，需额外付费。</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套</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微软雅黑" w:hAnsi="微软雅黑" w:eastAsia="微软雅黑" w:cs="微软雅黑"/>
                <w:color w:val="000000"/>
                <w:sz w:val="18"/>
                <w:szCs w:val="18"/>
              </w:rPr>
            </w:pPr>
          </w:p>
        </w:tc>
      </w:tr>
      <w:tr>
        <w:tblPrEx>
          <w:tblLayout w:type="fixed"/>
          <w:tblCellMar>
            <w:top w:w="15" w:type="dxa"/>
            <w:left w:w="15" w:type="dxa"/>
            <w:bottom w:w="15" w:type="dxa"/>
            <w:right w:w="15" w:type="dxa"/>
          </w:tblCellMar>
        </w:tblPrEx>
        <w:trPr>
          <w:trHeight w:val="675" w:hRule="atLeast"/>
        </w:trPr>
        <w:tc>
          <w:tcPr>
            <w:tcW w:w="54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color w:val="000000"/>
                <w:sz w:val="16"/>
                <w:szCs w:val="16"/>
              </w:rPr>
            </w:pPr>
            <w:r>
              <w:rPr>
                <w:rFonts w:hint="eastAsia" w:ascii="微软雅黑" w:hAnsi="微软雅黑" w:eastAsia="微软雅黑" w:cs="微软雅黑"/>
                <w:b/>
                <w:color w:val="000000"/>
                <w:kern w:val="0"/>
                <w:sz w:val="16"/>
                <w:szCs w:val="16"/>
                <w:lang w:bidi="ar"/>
              </w:rPr>
              <w:t>A2</w:t>
            </w:r>
          </w:p>
        </w:tc>
        <w:tc>
          <w:tcPr>
            <w:tcW w:w="736" w:type="dxa"/>
            <w:tcBorders>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color w:val="000000"/>
                <w:sz w:val="16"/>
                <w:szCs w:val="16"/>
              </w:rPr>
            </w:pPr>
          </w:p>
        </w:tc>
        <w:tc>
          <w:tcPr>
            <w:tcW w:w="1228" w:type="dxa"/>
            <w:gridSpan w:val="2"/>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color w:val="000000"/>
                <w:sz w:val="16"/>
                <w:szCs w:val="16"/>
              </w:rPr>
            </w:pPr>
            <w:r>
              <w:rPr>
                <w:rFonts w:hint="eastAsia" w:ascii="微软雅黑" w:hAnsi="微软雅黑" w:eastAsia="微软雅黑" w:cs="微软雅黑"/>
                <w:b/>
                <w:color w:val="000000"/>
                <w:kern w:val="0"/>
                <w:sz w:val="16"/>
                <w:szCs w:val="16"/>
                <w:lang w:bidi="ar"/>
              </w:rPr>
              <w:t>平台费用小计</w:t>
            </w:r>
          </w:p>
        </w:tc>
        <w:tc>
          <w:tcPr>
            <w:tcW w:w="4089" w:type="dxa"/>
            <w:tcBorders>
              <w:left w:val="single" w:color="000000" w:sz="4" w:space="0"/>
              <w:bottom w:val="single" w:color="000000" w:sz="4" w:space="0"/>
              <w:right w:val="single" w:color="000000" w:sz="4" w:space="0"/>
            </w:tcBorders>
            <w:shd w:val="clear" w:color="auto" w:fill="auto"/>
            <w:vAlign w:val="center"/>
          </w:tcPr>
          <w:p>
            <w:pPr>
              <w:jc w:val="left"/>
              <w:rPr>
                <w:rFonts w:ascii="微软雅黑" w:hAnsi="微软雅黑" w:eastAsia="微软雅黑" w:cs="微软雅黑"/>
                <w:b/>
                <w:color w:val="000000"/>
                <w:sz w:val="16"/>
                <w:szCs w:val="16"/>
              </w:rPr>
            </w:pPr>
          </w:p>
        </w:tc>
        <w:tc>
          <w:tcPr>
            <w:tcW w:w="547" w:type="dxa"/>
            <w:tcBorders>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color w:val="000000"/>
                <w:sz w:val="16"/>
                <w:szCs w:val="16"/>
              </w:rPr>
            </w:pPr>
          </w:p>
        </w:tc>
        <w:tc>
          <w:tcPr>
            <w:tcW w:w="586" w:type="dxa"/>
            <w:tcBorders>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color w:val="000000"/>
                <w:sz w:val="16"/>
                <w:szCs w:val="16"/>
              </w:rPr>
            </w:pPr>
          </w:p>
        </w:tc>
        <w:tc>
          <w:tcPr>
            <w:tcW w:w="2103" w:type="dxa"/>
            <w:tcBorders>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color w:val="000000"/>
                <w:sz w:val="16"/>
                <w:szCs w:val="16"/>
              </w:rPr>
            </w:pPr>
          </w:p>
        </w:tc>
        <w:tc>
          <w:tcPr>
            <w:tcW w:w="534" w:type="dxa"/>
            <w:tcBorders>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color w:val="000000"/>
                <w:sz w:val="16"/>
                <w:szCs w:val="16"/>
              </w:rPr>
            </w:pPr>
          </w:p>
        </w:tc>
        <w:tc>
          <w:tcPr>
            <w:tcW w:w="1015" w:type="dxa"/>
            <w:tcBorders>
              <w:left w:val="single" w:color="000000" w:sz="4" w:space="0"/>
              <w:bottom w:val="single" w:color="000000" w:sz="4" w:space="0"/>
              <w:right w:val="single" w:color="000000" w:sz="4" w:space="0"/>
            </w:tcBorders>
            <w:shd w:val="clear" w:color="auto" w:fill="auto"/>
            <w:vAlign w:val="center"/>
          </w:tcPr>
          <w:p>
            <w:pPr>
              <w:jc w:val="left"/>
              <w:rPr>
                <w:rFonts w:ascii="微软雅黑" w:hAnsi="微软雅黑" w:eastAsia="微软雅黑" w:cs="微软雅黑"/>
                <w:color w:val="FF0000"/>
                <w:sz w:val="18"/>
                <w:szCs w:val="18"/>
              </w:rPr>
            </w:pPr>
          </w:p>
        </w:tc>
      </w:tr>
      <w:tr>
        <w:tblPrEx>
          <w:tblLayout w:type="fixed"/>
          <w:tblCellMar>
            <w:top w:w="15" w:type="dxa"/>
            <w:left w:w="15" w:type="dxa"/>
            <w:bottom w:w="15" w:type="dxa"/>
            <w:right w:w="15" w:type="dxa"/>
          </w:tblCellMar>
        </w:tblPrEx>
        <w:trPr>
          <w:trHeight w:val="10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color w:val="000000"/>
                <w:sz w:val="16"/>
                <w:szCs w:val="16"/>
              </w:rPr>
            </w:pPr>
            <w:r>
              <w:rPr>
                <w:rFonts w:hint="eastAsia" w:ascii="微软雅黑" w:hAnsi="微软雅黑" w:eastAsia="微软雅黑" w:cs="微软雅黑"/>
                <w:b/>
                <w:color w:val="000000"/>
                <w:kern w:val="0"/>
                <w:sz w:val="16"/>
                <w:szCs w:val="16"/>
                <w:lang w:bidi="ar"/>
              </w:rPr>
              <w:t>A3</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color w:val="000000"/>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color w:val="000000"/>
                <w:sz w:val="16"/>
                <w:szCs w:val="16"/>
              </w:rPr>
            </w:pPr>
            <w:r>
              <w:rPr>
                <w:rStyle w:val="30"/>
                <w:rFonts w:hint="default"/>
                <w:lang w:bidi="ar"/>
              </w:rPr>
              <w:t>rose</w:t>
            </w:r>
            <w:r>
              <w:rPr>
                <w:rStyle w:val="31"/>
                <w:rFonts w:hint="default"/>
                <w:lang w:bidi="ar"/>
              </w:rPr>
              <w:t>备份软件</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Calibri"/>
                <w:b/>
                <w:color w:val="000000"/>
                <w:sz w:val="16"/>
                <w:szCs w:val="16"/>
              </w:rPr>
            </w:pPr>
            <w:r>
              <w:rPr>
                <w:rStyle w:val="32"/>
                <w:lang w:bidi="ar"/>
              </w:rPr>
              <w:t>rose</w:t>
            </w:r>
            <w:r>
              <w:rPr>
                <w:rStyle w:val="31"/>
                <w:rFonts w:hint="default"/>
                <w:lang w:bidi="ar"/>
              </w:rPr>
              <w:t>备份</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b/>
                <w:color w:val="000000"/>
                <w:sz w:val="16"/>
                <w:szCs w:val="16"/>
              </w:rPr>
            </w:pPr>
            <w:r>
              <w:rPr>
                <w:rFonts w:hint="eastAsia" w:ascii="微软雅黑" w:hAnsi="微软雅黑" w:eastAsia="微软雅黑" w:cs="微软雅黑"/>
                <w:b/>
                <w:color w:val="000000"/>
                <w:kern w:val="0"/>
                <w:sz w:val="16"/>
                <w:szCs w:val="16"/>
                <w:lang w:bidi="ar"/>
              </w:rPr>
              <w:t>数据备份需申请两套软件，此项为第一套软件费用</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color w:val="000000"/>
                <w:sz w:val="16"/>
                <w:szCs w:val="16"/>
              </w:rPr>
            </w:pPr>
            <w:r>
              <w:rPr>
                <w:rFonts w:hint="eastAsia" w:ascii="微软雅黑" w:hAnsi="微软雅黑" w:eastAsia="微软雅黑" w:cs="微软雅黑"/>
                <w:b/>
                <w:color w:val="000000"/>
                <w:kern w:val="0"/>
                <w:sz w:val="16"/>
                <w:szCs w:val="16"/>
                <w:lang w:bidi="ar"/>
              </w:rPr>
              <w:t>套</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color w:val="000000"/>
                <w:sz w:val="16"/>
                <w:szCs w:val="16"/>
              </w:rPr>
            </w:pPr>
            <w:r>
              <w:rPr>
                <w:rFonts w:hint="eastAsia" w:ascii="微软雅黑" w:hAnsi="微软雅黑" w:eastAsia="微软雅黑" w:cs="微软雅黑"/>
                <w:b/>
                <w:color w:val="000000"/>
                <w:kern w:val="0"/>
                <w:sz w:val="16"/>
                <w:szCs w:val="16"/>
                <w:lang w:bidi="ar"/>
              </w:rPr>
              <w:t>1</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color w:val="000000"/>
                <w:sz w:val="16"/>
                <w:szCs w:val="16"/>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color w:val="000000"/>
                <w:sz w:val="16"/>
                <w:szCs w:val="16"/>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数据备份需申请两套软件，此项为第一套软件费用</w:t>
            </w:r>
          </w:p>
        </w:tc>
      </w:tr>
      <w:tr>
        <w:tblPrEx>
          <w:tblLayout w:type="fixed"/>
          <w:tblCellMar>
            <w:top w:w="15" w:type="dxa"/>
            <w:left w:w="15" w:type="dxa"/>
            <w:bottom w:w="15" w:type="dxa"/>
            <w:right w:w="15" w:type="dxa"/>
          </w:tblCellMar>
        </w:tblPrEx>
        <w:trPr>
          <w:trHeight w:val="26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color w:val="000000"/>
                <w:sz w:val="16"/>
                <w:szCs w:val="16"/>
              </w:rPr>
            </w:pPr>
            <w:r>
              <w:rPr>
                <w:rFonts w:hint="eastAsia" w:ascii="微软雅黑" w:hAnsi="微软雅黑" w:eastAsia="微软雅黑" w:cs="微软雅黑"/>
                <w:b/>
                <w:color w:val="000000"/>
                <w:kern w:val="0"/>
                <w:sz w:val="16"/>
                <w:szCs w:val="16"/>
                <w:lang w:bidi="ar"/>
              </w:rPr>
              <w:t>A4</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color w:val="000000"/>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color w:val="000000"/>
                <w:sz w:val="16"/>
                <w:szCs w:val="16"/>
              </w:rPr>
            </w:pPr>
            <w:r>
              <w:rPr>
                <w:rStyle w:val="30"/>
                <w:rFonts w:hint="default"/>
                <w:lang w:bidi="ar"/>
              </w:rPr>
              <w:t>rose</w:t>
            </w:r>
            <w:r>
              <w:rPr>
                <w:rStyle w:val="31"/>
                <w:rFonts w:hint="default"/>
                <w:lang w:bidi="ar"/>
              </w:rPr>
              <w:t>备份同步接入费用</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color w:val="000000"/>
                <w:sz w:val="16"/>
                <w:szCs w:val="16"/>
              </w:rPr>
            </w:pPr>
          </w:p>
        </w:tc>
        <w:tc>
          <w:tcPr>
            <w:tcW w:w="73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b/>
                <w:color w:val="000000"/>
                <w:sz w:val="16"/>
                <w:szCs w:val="16"/>
              </w:rPr>
            </w:pPr>
            <w:r>
              <w:rPr>
                <w:rFonts w:hint="eastAsia" w:ascii="微软雅黑" w:hAnsi="微软雅黑" w:eastAsia="微软雅黑" w:cs="微软雅黑"/>
                <w:b/>
                <w:color w:val="000000"/>
                <w:kern w:val="0"/>
                <w:sz w:val="16"/>
                <w:szCs w:val="16"/>
                <w:lang w:bidi="ar"/>
              </w:rPr>
              <w:t>A2+A3</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color w:val="000000"/>
                <w:sz w:val="16"/>
                <w:szCs w:val="16"/>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服务器采用热备份模式，需在热备服务器上运行与主服务器相同软件，确保主服务器故障时，热备服务器无缝接管。</w:t>
            </w:r>
          </w:p>
        </w:tc>
      </w:tr>
      <w:tr>
        <w:tblPrEx>
          <w:tblLayout w:type="fixed"/>
          <w:tblCellMar>
            <w:top w:w="15" w:type="dxa"/>
            <w:left w:w="15" w:type="dxa"/>
            <w:bottom w:w="15" w:type="dxa"/>
            <w:right w:w="15" w:type="dxa"/>
          </w:tblCellMar>
        </w:tblPrEx>
        <w:trPr>
          <w:trHeight w:val="330" w:hRule="atLeast"/>
        </w:trPr>
        <w:tc>
          <w:tcPr>
            <w:tcW w:w="7733" w:type="dxa"/>
            <w:gridSpan w:val="7"/>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A合计(元)：A1+A2+A3+A4</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微软雅黑" w:hAnsi="微软雅黑" w:eastAsia="微软雅黑" w:cs="微软雅黑"/>
                <w:color w:val="000000"/>
                <w:sz w:val="22"/>
              </w:rPr>
            </w:pPr>
          </w:p>
        </w:tc>
        <w:tc>
          <w:tcPr>
            <w:tcW w:w="534" w:type="dxa"/>
            <w:tcBorders>
              <w:top w:val="single" w:color="000000" w:sz="4" w:space="0"/>
              <w:left w:val="single" w:color="000000" w:sz="4" w:space="0"/>
              <w:bottom w:val="single" w:color="000000" w:sz="4" w:space="0"/>
              <w:right w:val="single" w:color="000000" w:sz="4" w:space="0"/>
            </w:tcBorders>
            <w:shd w:val="clear" w:color="auto" w:fill="FFFFFF"/>
          </w:tcPr>
          <w:p>
            <w:pPr>
              <w:jc w:val="center"/>
              <w:rPr>
                <w:rFonts w:ascii="微软雅黑" w:hAnsi="微软雅黑" w:eastAsia="微软雅黑" w:cs="微软雅黑"/>
                <w:b/>
                <w:color w:val="000000"/>
                <w:sz w:val="16"/>
                <w:szCs w:val="16"/>
              </w:rPr>
            </w:pPr>
          </w:p>
        </w:tc>
        <w:tc>
          <w:tcPr>
            <w:tcW w:w="1015" w:type="dxa"/>
            <w:tcBorders>
              <w:top w:val="single" w:color="000000" w:sz="4" w:space="0"/>
              <w:left w:val="single" w:color="000000" w:sz="4" w:space="0"/>
              <w:bottom w:val="single" w:color="000000" w:sz="4" w:space="0"/>
              <w:right w:val="single" w:color="000000" w:sz="4" w:space="0"/>
            </w:tcBorders>
            <w:shd w:val="clear" w:color="auto" w:fill="FFFFFF"/>
          </w:tcPr>
          <w:p>
            <w:pPr>
              <w:jc w:val="left"/>
              <w:rPr>
                <w:rFonts w:ascii="微软雅黑" w:hAnsi="微软雅黑" w:eastAsia="微软雅黑" w:cs="微软雅黑"/>
                <w:color w:val="000000"/>
                <w:sz w:val="16"/>
                <w:szCs w:val="16"/>
              </w:rPr>
            </w:pPr>
          </w:p>
        </w:tc>
      </w:tr>
      <w:tr>
        <w:tblPrEx>
          <w:tblLayout w:type="fixed"/>
          <w:tblCellMar>
            <w:top w:w="15" w:type="dxa"/>
            <w:left w:w="15" w:type="dxa"/>
            <w:bottom w:w="15" w:type="dxa"/>
            <w:right w:w="15" w:type="dxa"/>
          </w:tblCellMar>
        </w:tblPrEx>
        <w:trPr>
          <w:trHeight w:val="330" w:hRule="atLeast"/>
        </w:trPr>
        <w:tc>
          <w:tcPr>
            <w:tcW w:w="6600" w:type="dxa"/>
            <w:gridSpan w:val="5"/>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B专项改造调试费率(元)：</w:t>
            </w:r>
          </w:p>
        </w:tc>
        <w:tc>
          <w:tcPr>
            <w:tcW w:w="547"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ascii="微软雅黑" w:hAnsi="微软雅黑" w:eastAsia="微软雅黑" w:cs="微软雅黑"/>
                <w:b/>
                <w:color w:val="000000"/>
                <w:sz w:val="22"/>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right"/>
              <w:textAlignment w:val="bottom"/>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微软雅黑" w:hAnsi="微软雅黑" w:eastAsia="微软雅黑" w:cs="微软雅黑"/>
                <w:color w:val="000000"/>
                <w:sz w:val="22"/>
              </w:rPr>
            </w:pP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top"/>
              <w:rPr>
                <w:rFonts w:ascii="微软雅黑" w:hAnsi="微软雅黑" w:eastAsia="微软雅黑" w:cs="微软雅黑"/>
                <w:b/>
                <w:color w:val="000000"/>
                <w:sz w:val="16"/>
                <w:szCs w:val="16"/>
              </w:rPr>
            </w:pPr>
            <w:r>
              <w:rPr>
                <w:rFonts w:hint="eastAsia" w:ascii="微软雅黑" w:hAnsi="微软雅黑" w:eastAsia="微软雅黑" w:cs="微软雅黑"/>
                <w:b/>
                <w:color w:val="000000"/>
                <w:kern w:val="0"/>
                <w:sz w:val="16"/>
                <w:szCs w:val="16"/>
                <w:lang w:bidi="ar"/>
              </w:rPr>
              <w:t>不超过25%</w:t>
            </w:r>
          </w:p>
        </w:tc>
      </w:tr>
      <w:tr>
        <w:tblPrEx>
          <w:tblLayout w:type="fixed"/>
          <w:tblCellMar>
            <w:top w:w="15" w:type="dxa"/>
            <w:left w:w="15" w:type="dxa"/>
            <w:bottom w:w="15" w:type="dxa"/>
            <w:right w:w="15" w:type="dxa"/>
          </w:tblCellMar>
        </w:tblPrEx>
        <w:trPr>
          <w:trHeight w:val="330" w:hRule="atLeast"/>
        </w:trPr>
        <w:tc>
          <w:tcPr>
            <w:tcW w:w="7733" w:type="dxa"/>
            <w:gridSpan w:val="7"/>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C合计(元)：</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微软雅黑" w:hAnsi="微软雅黑" w:eastAsia="微软雅黑" w:cs="微软雅黑"/>
                <w:color w:val="000000"/>
                <w:sz w:val="22"/>
              </w:rPr>
            </w:pP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FFFFFF"/>
          </w:tcPr>
          <w:p>
            <w:pPr>
              <w:jc w:val="center"/>
              <w:rPr>
                <w:rFonts w:ascii="微软雅黑" w:hAnsi="微软雅黑" w:eastAsia="微软雅黑" w:cs="微软雅黑"/>
                <w:b/>
                <w:color w:val="000000"/>
                <w:sz w:val="16"/>
                <w:szCs w:val="16"/>
              </w:rPr>
            </w:pPr>
          </w:p>
        </w:tc>
      </w:tr>
    </w:tbl>
    <w:p>
      <w:pPr>
        <w:jc w:val="left"/>
        <w:rPr>
          <w:rFonts w:ascii="方正仿宋_GBK" w:hAnsi="方正仿宋_GBK" w:eastAsia="方正仿宋_GBK" w:cs="方正仿宋_GBK"/>
          <w:b/>
          <w:bCs/>
          <w:sz w:val="32"/>
          <w:szCs w:val="32"/>
        </w:rPr>
      </w:pPr>
    </w:p>
    <w:p>
      <w:pPr>
        <w:pStyle w:val="4"/>
      </w:pPr>
    </w:p>
    <w:p/>
    <w:p>
      <w:pPr>
        <w:pStyle w:val="4"/>
        <w:framePr w:h="1983" w:hRule="exact" w:wrap="around" w:vAnchor="margin" w:hAnchor="text" w:y="1"/>
        <w:sectPr>
          <w:endnotePr>
            <w:numFmt w:val="decimal"/>
          </w:endnotePr>
          <w:pgSz w:w="11907" w:h="16840"/>
          <w:pgMar w:top="1418" w:right="1134" w:bottom="1418" w:left="1134" w:header="964" w:footer="992" w:gutter="0"/>
          <w:pgBorders>
            <w:top w:val="none" w:color="auto" w:sz="0" w:space="0"/>
            <w:left w:val="none" w:color="auto" w:sz="0" w:space="0"/>
            <w:bottom w:val="none" w:color="auto" w:sz="0" w:space="0"/>
            <w:right w:val="none" w:color="auto" w:sz="0" w:space="0"/>
          </w:pgBorders>
          <w:cols w:space="720" w:num="1"/>
          <w:docGrid w:linePitch="380" w:charSpace="-5735"/>
        </w:sectPr>
      </w:pPr>
    </w:p>
    <w:bookmarkEnd w:id="9"/>
    <w:p>
      <w:pPr>
        <w:pStyle w:val="4"/>
        <w:keepNext w:val="0"/>
        <w:keepLines w:val="0"/>
        <w:numPr>
          <w:ilvl w:val="1"/>
          <w:numId w:val="5"/>
        </w:numPr>
        <w:autoSpaceDE w:val="0"/>
        <w:autoSpaceDN w:val="0"/>
        <w:adjustRightInd w:val="0"/>
        <w:spacing w:before="240" w:beforeLines="100" w:after="0" w:line="240" w:lineRule="auto"/>
        <w:jc w:val="left"/>
        <w:rPr>
          <w:rFonts w:ascii="方正黑体_GBK" w:hAnsi="方正黑体_GBK" w:eastAsia="方正黑体_GBK" w:cs="方正黑体_GBK"/>
          <w:b w:val="0"/>
          <w:bCs w:val="0"/>
          <w:sz w:val="28"/>
        </w:rPr>
      </w:pPr>
      <w:bookmarkStart w:id="10" w:name="_Toc306798310"/>
      <w:bookmarkStart w:id="11" w:name="_Toc161727398"/>
      <w:r>
        <w:rPr>
          <w:rFonts w:hint="eastAsia" w:ascii="方正黑体_GBK" w:hAnsi="方正黑体_GBK" w:eastAsia="方正黑体_GBK" w:cs="方正黑体_GBK"/>
          <w:b w:val="0"/>
          <w:bCs w:val="0"/>
          <w:sz w:val="28"/>
        </w:rPr>
        <w:t>法人营业执照复印件（加盖鲜章）</w:t>
      </w:r>
    </w:p>
    <w:p>
      <w:pPr>
        <w:pStyle w:val="4"/>
        <w:keepNext w:val="0"/>
        <w:keepLines w:val="0"/>
        <w:numPr>
          <w:ilvl w:val="1"/>
          <w:numId w:val="5"/>
        </w:numPr>
        <w:autoSpaceDE w:val="0"/>
        <w:autoSpaceDN w:val="0"/>
        <w:adjustRightInd w:val="0"/>
        <w:spacing w:before="240" w:beforeLines="100" w:after="0" w:line="240" w:lineRule="auto"/>
        <w:jc w:val="left"/>
        <w:rPr>
          <w:rFonts w:ascii="方正黑体_GBK" w:hAnsi="方正黑体_GBK" w:eastAsia="方正黑体_GBK" w:cs="方正黑体_GBK"/>
          <w:b w:val="0"/>
          <w:bCs w:val="0"/>
          <w:sz w:val="28"/>
        </w:rPr>
      </w:pPr>
      <w:r>
        <w:rPr>
          <w:rFonts w:hint="eastAsia" w:ascii="方正黑体_GBK" w:hAnsi="方正黑体_GBK" w:eastAsia="方正黑体_GBK" w:cs="方正黑体_GBK"/>
          <w:b w:val="0"/>
          <w:bCs w:val="0"/>
          <w:sz w:val="28"/>
        </w:rPr>
        <w:t>法定代表人授权委托书格式</w:t>
      </w:r>
      <w:bookmarkEnd w:id="10"/>
    </w:p>
    <w:p>
      <w:pPr>
        <w:spacing w:line="360" w:lineRule="auto"/>
        <w:rPr>
          <w:rFonts w:ascii="方正仿宋_GBK" w:hAnsi="宋体" w:eastAsia="方正仿宋_GBK"/>
          <w:b/>
          <w:bCs/>
          <w:sz w:val="24"/>
        </w:rPr>
      </w:pPr>
    </w:p>
    <w:p>
      <w:pPr>
        <w:spacing w:line="360" w:lineRule="auto"/>
        <w:jc w:val="center"/>
        <w:rPr>
          <w:rFonts w:ascii="方正仿宋_GBK" w:hAnsi="宋体" w:eastAsia="方正仿宋_GBK"/>
          <w:b/>
          <w:bCs/>
          <w:sz w:val="32"/>
          <w:szCs w:val="32"/>
        </w:rPr>
      </w:pPr>
      <w:r>
        <w:rPr>
          <w:rFonts w:hint="eastAsia" w:ascii="方正仿宋_GBK" w:hAnsi="宋体" w:eastAsia="方正仿宋_GBK"/>
          <w:b/>
          <w:bCs/>
          <w:sz w:val="32"/>
          <w:szCs w:val="32"/>
        </w:rPr>
        <w:t>法定代表人授权委托书</w:t>
      </w:r>
    </w:p>
    <w:p>
      <w:pPr>
        <w:spacing w:line="360" w:lineRule="auto"/>
        <w:ind w:firstLine="420" w:firstLineChars="200"/>
        <w:rPr>
          <w:rFonts w:ascii="方正仿宋_GBK" w:hAnsi="宋体" w:eastAsia="方正仿宋_GBK"/>
        </w:rPr>
      </w:pPr>
    </w:p>
    <w:p>
      <w:pPr>
        <w:spacing w:line="360" w:lineRule="auto"/>
        <w:rPr>
          <w:rFonts w:ascii="方正仿宋_GBK" w:hAnsi="宋体" w:eastAsia="方正仿宋_GBK"/>
          <w:szCs w:val="21"/>
        </w:rPr>
      </w:pPr>
      <w:r>
        <w:rPr>
          <w:rFonts w:hint="eastAsia" w:ascii="方正仿宋_GBK" w:hAnsi="宋体" w:eastAsia="方正仿宋_GBK"/>
          <w:bCs/>
          <w:spacing w:val="8"/>
          <w:sz w:val="24"/>
        </w:rPr>
        <w:t>致：</w:t>
      </w:r>
    </w:p>
    <w:p>
      <w:pPr>
        <w:spacing w:line="480" w:lineRule="auto"/>
        <w:rPr>
          <w:rFonts w:ascii="方正仿宋_GBK" w:hAnsi="宋体" w:eastAsia="方正仿宋_GBK"/>
          <w:sz w:val="24"/>
          <w:szCs w:val="21"/>
        </w:rPr>
      </w:pPr>
      <w:r>
        <w:rPr>
          <w:rFonts w:hint="eastAsia" w:ascii="方正仿宋_GBK" w:hAnsi="宋体" w:eastAsia="方正仿宋_GBK"/>
          <w:sz w:val="24"/>
          <w:szCs w:val="21"/>
        </w:rPr>
        <w:t xml:space="preserve"> 本授权书声明：注册于</w:t>
      </w:r>
      <w:r>
        <w:rPr>
          <w:rFonts w:hint="eastAsia" w:ascii="方正仿宋_GBK" w:hAnsi="宋体" w:eastAsia="方正仿宋_GBK"/>
          <w:sz w:val="24"/>
          <w:szCs w:val="21"/>
          <w:u w:val="single"/>
        </w:rPr>
        <w:t xml:space="preserve">       （供应商住址）</w:t>
      </w:r>
      <w:r>
        <w:rPr>
          <w:rFonts w:hint="eastAsia" w:ascii="方正仿宋_GBK" w:hAnsi="宋体" w:eastAsia="方正仿宋_GBK"/>
          <w:sz w:val="24"/>
          <w:szCs w:val="21"/>
        </w:rPr>
        <w:t>的（供应商名称）法定代表人</w:t>
      </w:r>
      <w:r>
        <w:rPr>
          <w:rFonts w:hint="eastAsia" w:ascii="方正仿宋_GBK" w:hAnsi="宋体" w:eastAsia="方正仿宋_GBK"/>
          <w:sz w:val="24"/>
          <w:szCs w:val="21"/>
          <w:u w:val="single"/>
        </w:rPr>
        <w:t xml:space="preserve">       （法定代表人姓名）</w:t>
      </w:r>
      <w:r>
        <w:rPr>
          <w:rFonts w:hint="eastAsia" w:ascii="方正仿宋_GBK" w:hAnsi="宋体" w:eastAsia="方正仿宋_GBK"/>
          <w:sz w:val="24"/>
          <w:szCs w:val="21"/>
        </w:rPr>
        <w:t>代表本公司授权</w:t>
      </w:r>
      <w:r>
        <w:rPr>
          <w:rFonts w:hint="eastAsia" w:ascii="方正仿宋_GBK" w:hAnsi="宋体" w:eastAsia="方正仿宋_GBK"/>
          <w:sz w:val="24"/>
          <w:szCs w:val="21"/>
          <w:u w:val="single"/>
        </w:rPr>
        <w:t xml:space="preserve">        （供应商代表姓名、职务）</w:t>
      </w:r>
      <w:r>
        <w:rPr>
          <w:rFonts w:hint="eastAsia" w:ascii="方正仿宋_GBK" w:hAnsi="宋体" w:eastAsia="方正仿宋_GBK"/>
          <w:sz w:val="24"/>
          <w:szCs w:val="21"/>
        </w:rPr>
        <w:t>为本公司的合法代理人，就贵方组织的项目名称进行磋商，以本公司名义处理一切与之有关的事务。</w:t>
      </w:r>
    </w:p>
    <w:p>
      <w:pPr>
        <w:spacing w:line="480" w:lineRule="auto"/>
        <w:rPr>
          <w:rFonts w:ascii="方正仿宋_GBK" w:hAnsi="宋体" w:eastAsia="方正仿宋_GBK"/>
          <w:sz w:val="24"/>
          <w:szCs w:val="21"/>
        </w:rPr>
      </w:pPr>
      <w:r>
        <w:rPr>
          <w:rFonts w:hint="eastAsia" w:ascii="方正仿宋_GBK" w:hAnsi="宋体" w:eastAsia="方正仿宋_GBK"/>
          <w:sz w:val="24"/>
          <w:szCs w:val="21"/>
        </w:rPr>
        <w:t xml:space="preserve">    本授权书于</w:t>
      </w:r>
      <w:r>
        <w:rPr>
          <w:rFonts w:hint="eastAsia" w:ascii="方正仿宋_GBK" w:hAnsi="宋体" w:eastAsia="方正仿宋_GBK"/>
          <w:sz w:val="24"/>
          <w:szCs w:val="21"/>
          <w:u w:val="single"/>
        </w:rPr>
        <w:t xml:space="preserve">    年  月  日</w:t>
      </w:r>
      <w:r>
        <w:rPr>
          <w:rFonts w:hint="eastAsia" w:ascii="方正仿宋_GBK" w:hAnsi="宋体" w:eastAsia="方正仿宋_GBK"/>
          <w:sz w:val="24"/>
          <w:szCs w:val="21"/>
        </w:rPr>
        <w:t>签字生效，有效期为</w:t>
      </w:r>
      <w:r>
        <w:rPr>
          <w:rFonts w:hint="eastAsia" w:ascii="方正仿宋_GBK" w:hAnsi="宋体" w:eastAsia="方正仿宋_GBK"/>
          <w:sz w:val="24"/>
          <w:szCs w:val="21"/>
          <w:u w:val="single"/>
        </w:rPr>
        <w:t>90</w:t>
      </w:r>
      <w:r>
        <w:rPr>
          <w:rFonts w:hint="eastAsia" w:ascii="方正仿宋_GBK" w:hAnsi="宋体" w:eastAsia="方正仿宋_GBK"/>
          <w:sz w:val="24"/>
          <w:szCs w:val="21"/>
        </w:rPr>
        <w:t>天。在撤消授权的书面通知以前，本授权书一直有效。被授权人在授权书有效期内签署的所有文件不因授权的撤消而失效。代理人无转委托权。特此声明。</w:t>
      </w:r>
    </w:p>
    <w:p>
      <w:pPr>
        <w:spacing w:line="480" w:lineRule="auto"/>
        <w:rPr>
          <w:rFonts w:ascii="方正仿宋_GBK" w:hAnsi="宋体" w:eastAsia="方正仿宋_GBK"/>
          <w:sz w:val="24"/>
          <w:szCs w:val="21"/>
        </w:rPr>
      </w:pPr>
    </w:p>
    <w:p>
      <w:pPr>
        <w:spacing w:line="480" w:lineRule="auto"/>
        <w:rPr>
          <w:rFonts w:ascii="方正仿宋_GBK" w:hAnsi="宋体" w:eastAsia="方正仿宋_GBK"/>
          <w:sz w:val="24"/>
          <w:szCs w:val="21"/>
        </w:rPr>
      </w:pPr>
      <w:r>
        <w:rPr>
          <w:rFonts w:hint="eastAsia" w:ascii="方正仿宋_GBK" w:hAnsi="宋体" w:eastAsia="方正仿宋_GBK"/>
          <w:sz w:val="24"/>
          <w:szCs w:val="21"/>
        </w:rPr>
        <w:t>供应商（盖章）：</w:t>
      </w:r>
    </w:p>
    <w:p>
      <w:pPr>
        <w:spacing w:line="480" w:lineRule="auto"/>
        <w:ind w:firstLine="360" w:firstLineChars="150"/>
        <w:rPr>
          <w:rFonts w:ascii="方正仿宋_GBK" w:hAnsi="宋体" w:eastAsia="方正仿宋_GBK"/>
          <w:sz w:val="24"/>
          <w:szCs w:val="21"/>
        </w:rPr>
      </w:pPr>
      <w:r>
        <w:rPr>
          <w:rFonts w:hint="eastAsia" w:ascii="方正仿宋_GBK" w:hAnsi="宋体" w:eastAsia="方正仿宋_GBK"/>
          <w:sz w:val="24"/>
          <w:szCs w:val="21"/>
        </w:rPr>
        <w:t>法定代表人签字或盖章：                         被授权人签字或盖章：</w:t>
      </w:r>
    </w:p>
    <w:p>
      <w:pPr>
        <w:tabs>
          <w:tab w:val="left" w:pos="1440"/>
        </w:tabs>
        <w:spacing w:line="480" w:lineRule="auto"/>
        <w:rPr>
          <w:rFonts w:ascii="方正仿宋_GBK" w:hAnsi="宋体" w:eastAsia="方正仿宋_GBK"/>
          <w:sz w:val="24"/>
          <w:szCs w:val="21"/>
        </w:rPr>
      </w:pPr>
      <w:r>
        <w:rPr>
          <w:rFonts w:hint="eastAsia" w:ascii="方正仿宋_GBK" w:hAnsi="宋体" w:eastAsia="方正仿宋_GBK"/>
          <w:sz w:val="24"/>
          <w:szCs w:val="21"/>
        </w:rPr>
        <w:t xml:space="preserve">      年     月     日                           年    月     日</w:t>
      </w:r>
    </w:p>
    <w:p>
      <w:pPr>
        <w:spacing w:line="440" w:lineRule="exact"/>
        <w:rPr>
          <w:rFonts w:ascii="方正仿宋_GBK" w:hAnsi="宋体" w:eastAsia="方正仿宋_GBK"/>
          <w:snapToGrid w:val="0"/>
          <w:sz w:val="24"/>
        </w:rPr>
      </w:pPr>
      <w:r>
        <w:rPr>
          <w:rFonts w:ascii="方正仿宋_GBK" w:hAnsi="宋体" w:eastAsia="方正仿宋_GBK"/>
          <w:spacing w:val="8"/>
          <w:sz w:val="24"/>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422275</wp:posOffset>
                </wp:positionV>
                <wp:extent cx="2628900" cy="1287780"/>
                <wp:effectExtent l="4445" t="4445" r="14605" b="22225"/>
                <wp:wrapNone/>
                <wp:docPr id="2" name="矩形 3"/>
                <wp:cNvGraphicFramePr/>
                <a:graphic xmlns:a="http://schemas.openxmlformats.org/drawingml/2006/main">
                  <a:graphicData uri="http://schemas.microsoft.com/office/word/2010/wordprocessingShape">
                    <wps:wsp>
                      <wps:cNvSpPr/>
                      <wps:spPr>
                        <a:xfrm>
                          <a:off x="0" y="0"/>
                          <a:ext cx="2628900"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法定代表人身份证双面复印件</w:t>
                            </w:r>
                          </w:p>
                        </w:txbxContent>
                      </wps:txbx>
                      <wps:bodyPr upright="1"/>
                    </wps:wsp>
                  </a:graphicData>
                </a:graphic>
              </wp:anchor>
            </w:drawing>
          </mc:Choice>
          <mc:Fallback>
            <w:pict>
              <v:rect id="矩形 3" o:spid="_x0000_s1026" o:spt="1" style="position:absolute;left:0pt;margin-left:-9pt;margin-top:33.25pt;height:101.4pt;width:207pt;z-index:251660288;mso-width-relative:page;mso-height-relative:page;" fillcolor="#FFFFFF" filled="t" stroked="t" coordsize="21600,21600" o:gfxdata="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h68PdkAAAAKAQAADwAAAAAAAAABACAAAAAiAAAAZHJzL2Rvd25yZXYueG1sUEsBAhQAFAAAAAgA&#10;h07iQKfQZ1jrAQAA3AMAAA4AAAAAAAAAAQAgAAAAKAEAAGRycy9lMm9Eb2MueG1sUEsFBgAAAAAG&#10;AAYAWQEAAIUFAAAAAA==&#10;">
                <v:fill on="t" focussize="0,0"/>
                <v:stroke color="#000000" joinstyle="miter"/>
                <v:imagedata o:title=""/>
                <o:lock v:ext="edit" aspectratio="f"/>
                <v:textbox>
                  <w:txbxContent>
                    <w:p>
                      <w:pPr>
                        <w:jc w:val="center"/>
                      </w:pPr>
                      <w:r>
                        <w:rPr>
                          <w:rFonts w:hint="eastAsia"/>
                        </w:rPr>
                        <w:t>法定代表人身份证双面复印件</w:t>
                      </w:r>
                    </w:p>
                  </w:txbxContent>
                </v:textbox>
              </v:rect>
            </w:pict>
          </mc:Fallback>
        </mc:AlternateContent>
      </w:r>
    </w:p>
    <w:p>
      <w:pPr>
        <w:spacing w:line="440" w:lineRule="exact"/>
        <w:rPr>
          <w:rFonts w:ascii="方正仿宋_GBK" w:hAnsi="宋体" w:eastAsia="方正仿宋_GBK"/>
          <w:spacing w:val="8"/>
          <w:sz w:val="24"/>
        </w:rPr>
      </w:pPr>
      <w:r>
        <w:rPr>
          <w:rFonts w:ascii="方正仿宋_GBK" w:hAnsi="宋体" w:eastAsia="方正仿宋_GBK"/>
          <w:spacing w:val="8"/>
          <w:sz w:val="24"/>
        </w:rPr>
        <mc:AlternateContent>
          <mc:Choice Requires="wps">
            <w:drawing>
              <wp:anchor distT="0" distB="0" distL="114300" distR="114300" simplePos="0" relativeHeight="251661312" behindDoc="0" locked="0" layoutInCell="1" allowOverlap="1">
                <wp:simplePos x="0" y="0"/>
                <wp:positionH relativeFrom="column">
                  <wp:posOffset>3383280</wp:posOffset>
                </wp:positionH>
                <wp:positionV relativeFrom="paragraph">
                  <wp:posOffset>116840</wp:posOffset>
                </wp:positionV>
                <wp:extent cx="2628900" cy="1287780"/>
                <wp:effectExtent l="4445" t="4445" r="14605" b="22225"/>
                <wp:wrapNone/>
                <wp:docPr id="1" name="矩形 4"/>
                <wp:cNvGraphicFramePr/>
                <a:graphic xmlns:a="http://schemas.openxmlformats.org/drawingml/2006/main">
                  <a:graphicData uri="http://schemas.microsoft.com/office/word/2010/wordprocessingShape">
                    <wps:wsp>
                      <wps:cNvSpPr/>
                      <wps:spPr>
                        <a:xfrm>
                          <a:off x="0" y="0"/>
                          <a:ext cx="2628900"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被授权人身份证双面复印件</w:t>
                            </w:r>
                          </w:p>
                        </w:txbxContent>
                      </wps:txbx>
                      <wps:bodyPr upright="1"/>
                    </wps:wsp>
                  </a:graphicData>
                </a:graphic>
              </wp:anchor>
            </w:drawing>
          </mc:Choice>
          <mc:Fallback>
            <w:pict>
              <v:rect id="矩形 4" o:spid="_x0000_s1026" o:spt="1" style="position:absolute;left:0pt;margin-left:266.4pt;margin-top:9.2pt;height:101.4pt;width:207pt;z-index:251661312;mso-width-relative:page;mso-height-relative:page;" fillcolor="#FFFFFF" filled="t" stroked="t" coordsize="21600,21600" o:gfxdata="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H&#10;mhJL2AAAAAoBAAAPAAAAAAAAAAEAIAAAACIAAABkcnMvZG93bnJldi54bWxQSwECFAAUAAAACACH&#10;TuJAKbyDWOsBAADcAwAADgAAAAAAAAABACAAAAAnAQAAZHJzL2Uyb0RvYy54bWxQSwUGAAAAAAYA&#10;BgBZAQAAhAUAAAAA&#10;">
                <v:fill on="t" focussize="0,0"/>
                <v:stroke color="#000000" joinstyle="miter"/>
                <v:imagedata o:title=""/>
                <o:lock v:ext="edit" aspectratio="f"/>
                <v:textbox>
                  <w:txbxContent>
                    <w:p>
                      <w:pPr>
                        <w:jc w:val="center"/>
                      </w:pPr>
                      <w:r>
                        <w:rPr>
                          <w:rFonts w:hint="eastAsia"/>
                        </w:rPr>
                        <w:t>被授权人身份证双面复印件</w:t>
                      </w:r>
                    </w:p>
                  </w:txbxContent>
                </v:textbox>
              </v:rect>
            </w:pict>
          </mc:Fallback>
        </mc:AlternateContent>
      </w:r>
    </w:p>
    <w:p>
      <w:pPr>
        <w:spacing w:line="440" w:lineRule="exact"/>
        <w:rPr>
          <w:rFonts w:ascii="方正仿宋_GBK" w:hAnsi="宋体" w:eastAsia="方正仿宋_GBK"/>
          <w:spacing w:val="8"/>
          <w:sz w:val="24"/>
        </w:rPr>
      </w:pPr>
    </w:p>
    <w:p>
      <w:pPr>
        <w:spacing w:line="440" w:lineRule="exact"/>
        <w:rPr>
          <w:rFonts w:ascii="方正仿宋_GBK" w:hAnsi="宋体" w:eastAsia="方正仿宋_GBK"/>
          <w:spacing w:val="8"/>
          <w:sz w:val="24"/>
        </w:rPr>
      </w:pPr>
    </w:p>
    <w:p>
      <w:pPr>
        <w:spacing w:line="440" w:lineRule="exact"/>
        <w:rPr>
          <w:rFonts w:ascii="方正仿宋_GBK" w:hAnsi="宋体" w:eastAsia="方正仿宋_GBK"/>
          <w:snapToGrid w:val="0"/>
          <w:sz w:val="24"/>
        </w:rPr>
      </w:pPr>
    </w:p>
    <w:p>
      <w:pPr>
        <w:pStyle w:val="4"/>
        <w:spacing w:before="240" w:beforeLines="100"/>
        <w:rPr>
          <w:rFonts w:ascii="方正黑体_GBK" w:hAnsi="方正黑体_GBK" w:eastAsia="方正黑体_GBK" w:cs="方正黑体_GBK"/>
          <w:b w:val="0"/>
          <w:bCs w:val="0"/>
          <w:sz w:val="28"/>
        </w:rPr>
      </w:pPr>
      <w:r>
        <w:rPr>
          <w:rFonts w:hint="eastAsia" w:ascii="方正仿宋_GBK" w:eastAsia="方正仿宋_GBK"/>
        </w:rPr>
        <w:br w:type="column"/>
      </w:r>
      <w:bookmarkStart w:id="12" w:name="_Toc306798312"/>
      <w:r>
        <w:rPr>
          <w:rFonts w:hint="eastAsia" w:ascii="方正黑体_GBK" w:hAnsi="方正黑体_GBK" w:eastAsia="方正黑体_GBK" w:cs="方正黑体_GBK"/>
          <w:b w:val="0"/>
          <w:bCs w:val="0"/>
        </w:rPr>
        <w:t xml:space="preserve">   五、</w:t>
      </w:r>
      <w:r>
        <w:rPr>
          <w:rFonts w:hint="eastAsia" w:ascii="方正黑体_GBK" w:hAnsi="方正黑体_GBK" w:eastAsia="方正黑体_GBK" w:cs="方正黑体_GBK"/>
          <w:b w:val="0"/>
          <w:bCs w:val="0"/>
          <w:sz w:val="28"/>
        </w:rPr>
        <w:t>递交采购响应保证金的凭证复印件</w:t>
      </w:r>
    </w:p>
    <w:p>
      <w:pPr>
        <w:pStyle w:val="4"/>
        <w:spacing w:before="240" w:beforeLines="100"/>
        <w:ind w:left="420"/>
        <w:rPr>
          <w:rFonts w:ascii="方正黑体_GBK" w:hAnsi="方正黑体_GBK" w:eastAsia="方正黑体_GBK" w:cs="方正黑体_GBK"/>
          <w:b w:val="0"/>
          <w:bCs w:val="0"/>
          <w:sz w:val="28"/>
        </w:rPr>
      </w:pPr>
      <w:r>
        <w:rPr>
          <w:rFonts w:hint="eastAsia" w:ascii="方正黑体_GBK" w:hAnsi="方正黑体_GBK" w:eastAsia="方正黑体_GBK" w:cs="方正黑体_GBK"/>
          <w:b w:val="0"/>
          <w:bCs w:val="0"/>
          <w:sz w:val="28"/>
        </w:rPr>
        <w:t>六、供应商银行账户信息（加盖供应商鲜章）</w:t>
      </w:r>
    </w:p>
    <w:p>
      <w:pPr>
        <w:pStyle w:val="4"/>
        <w:spacing w:before="240" w:beforeLines="100"/>
        <w:ind w:left="420"/>
        <w:rPr>
          <w:rFonts w:ascii="方正黑体_GBK" w:hAnsi="方正黑体_GBK" w:eastAsia="方正黑体_GBK" w:cs="方正黑体_GBK"/>
          <w:b w:val="0"/>
          <w:bCs w:val="0"/>
          <w:sz w:val="28"/>
        </w:rPr>
      </w:pPr>
      <w:r>
        <w:rPr>
          <w:rFonts w:hint="eastAsia" w:ascii="方正黑体_GBK" w:hAnsi="方正黑体_GBK" w:eastAsia="方正黑体_GBK" w:cs="方正黑体_GBK"/>
          <w:b w:val="0"/>
          <w:bCs w:val="0"/>
          <w:sz w:val="28"/>
        </w:rPr>
        <w:t>七、采购响应保证金退还信息表</w:t>
      </w:r>
    </w:p>
    <w:tbl>
      <w:tblPr>
        <w:tblStyle w:val="15"/>
        <w:tblW w:w="8834" w:type="dxa"/>
        <w:tblInd w:w="4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4678"/>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jc w:val="center"/>
              <w:rPr>
                <w:rFonts w:ascii="仿宋_GB2312" w:hAnsi="宋体" w:eastAsia="仿宋_GB2312"/>
                <w:sz w:val="28"/>
                <w:szCs w:val="28"/>
              </w:rPr>
            </w:pPr>
            <w:r>
              <w:rPr>
                <w:rFonts w:hint="eastAsia" w:ascii="仿宋_GB2312" w:hAnsi="宋体" w:eastAsia="仿宋_GB2312"/>
                <w:sz w:val="28"/>
                <w:szCs w:val="28"/>
              </w:rPr>
              <w:t>项目名称</w:t>
            </w:r>
          </w:p>
        </w:tc>
        <w:tc>
          <w:tcPr>
            <w:tcW w:w="4678" w:type="dxa"/>
            <w:vAlign w:val="center"/>
          </w:tcPr>
          <w:p>
            <w:pPr>
              <w:jc w:val="center"/>
              <w:rPr>
                <w:rFonts w:ascii="仿宋_GB2312" w:hAnsi="宋体" w:eastAsia="仿宋_GB2312"/>
                <w:sz w:val="28"/>
                <w:szCs w:val="28"/>
              </w:rPr>
            </w:pPr>
            <w:r>
              <w:rPr>
                <w:rFonts w:hint="eastAsia" w:ascii="仿宋_GB2312" w:hAnsi="宋体" w:eastAsia="仿宋_GB2312"/>
                <w:sz w:val="28"/>
                <w:szCs w:val="28"/>
              </w:rPr>
              <w:t>项目内容</w:t>
            </w:r>
          </w:p>
        </w:tc>
        <w:tc>
          <w:tcPr>
            <w:tcW w:w="2063" w:type="dxa"/>
            <w:vAlign w:val="center"/>
          </w:tcPr>
          <w:p>
            <w:pPr>
              <w:jc w:val="center"/>
              <w:rPr>
                <w:rFonts w:ascii="仿宋_GB2312" w:hAnsi="宋体" w:eastAsia="仿宋_GB2312"/>
                <w:sz w:val="28"/>
                <w:szCs w:val="28"/>
              </w:rPr>
            </w:pPr>
            <w:r>
              <w:rPr>
                <w:rFonts w:hint="eastAsia" w:ascii="仿宋_GB2312" w:hAnsi="宋体"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jc w:val="center"/>
              <w:rPr>
                <w:rFonts w:ascii="仿宋_GB2312" w:hAnsi="宋体" w:eastAsia="仿宋_GB2312"/>
                <w:sz w:val="28"/>
                <w:szCs w:val="28"/>
              </w:rPr>
            </w:pPr>
            <w:r>
              <w:rPr>
                <w:rFonts w:hint="eastAsia" w:ascii="仿宋_GB2312" w:hAnsi="宋体" w:eastAsia="仿宋_GB2312"/>
                <w:sz w:val="28"/>
                <w:szCs w:val="28"/>
              </w:rPr>
              <w:t>单位名称：</w:t>
            </w:r>
          </w:p>
        </w:tc>
        <w:tc>
          <w:tcPr>
            <w:tcW w:w="4678" w:type="dxa"/>
            <w:vAlign w:val="center"/>
          </w:tcPr>
          <w:p>
            <w:pPr>
              <w:jc w:val="center"/>
              <w:rPr>
                <w:rFonts w:ascii="仿宋_GB2312" w:hAnsi="宋体" w:eastAsia="仿宋_GB2312"/>
                <w:sz w:val="28"/>
                <w:szCs w:val="28"/>
              </w:rPr>
            </w:pPr>
          </w:p>
        </w:tc>
        <w:tc>
          <w:tcPr>
            <w:tcW w:w="2063" w:type="dxa"/>
            <w:vAlign w:val="center"/>
          </w:tcPr>
          <w:p>
            <w:pPr>
              <w:spacing w:line="280" w:lineRule="exact"/>
              <w:jc w:val="center"/>
              <w:rPr>
                <w:rFonts w:ascii="仿宋_GB2312" w:hAnsi="宋体" w:eastAsia="仿宋_GB2312"/>
                <w:sz w:val="22"/>
              </w:rPr>
            </w:pPr>
            <w:r>
              <w:rPr>
                <w:rFonts w:hint="eastAsia" w:ascii="仿宋_GB2312" w:hAnsi="宋体" w:eastAsia="仿宋_GB2312"/>
                <w:sz w:val="22"/>
              </w:rPr>
              <w:t>必须与供应商单位名称一致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snapToGrid w:val="0"/>
              <w:spacing w:line="320" w:lineRule="exact"/>
              <w:jc w:val="center"/>
              <w:rPr>
                <w:rFonts w:ascii="仿宋_GB2312" w:hAnsi="宋体" w:eastAsia="仿宋_GB2312"/>
                <w:sz w:val="28"/>
                <w:szCs w:val="28"/>
              </w:rPr>
            </w:pPr>
            <w:r>
              <w:rPr>
                <w:rFonts w:hint="eastAsia" w:ascii="仿宋_GB2312" w:hAnsi="宋体" w:eastAsia="仿宋_GB2312"/>
                <w:sz w:val="28"/>
                <w:szCs w:val="28"/>
              </w:rPr>
              <w:t>单位账户开户银行：</w:t>
            </w:r>
          </w:p>
        </w:tc>
        <w:tc>
          <w:tcPr>
            <w:tcW w:w="4678" w:type="dxa"/>
            <w:vAlign w:val="center"/>
          </w:tcPr>
          <w:p>
            <w:pPr>
              <w:jc w:val="center"/>
              <w:rPr>
                <w:rFonts w:ascii="仿宋_GB2312" w:hAnsi="宋体" w:eastAsia="仿宋_GB2312"/>
                <w:sz w:val="28"/>
                <w:szCs w:val="28"/>
              </w:rPr>
            </w:pPr>
          </w:p>
        </w:tc>
        <w:tc>
          <w:tcPr>
            <w:tcW w:w="2063" w:type="dxa"/>
            <w:vAlign w:val="center"/>
          </w:tcPr>
          <w:p>
            <w:pPr>
              <w:spacing w:line="280" w:lineRule="exact"/>
              <w:jc w:val="center"/>
              <w:rPr>
                <w:rFonts w:ascii="仿宋_GB2312" w:hAnsi="宋体" w:eastAsia="仿宋_GB2312"/>
                <w:sz w:val="28"/>
                <w:szCs w:val="28"/>
              </w:rPr>
            </w:pPr>
            <w:r>
              <w:rPr>
                <w:rFonts w:hint="eastAsia" w:ascii="仿宋_GB2312" w:hAnsi="宋体" w:eastAsia="仿宋_GB2312"/>
                <w:sz w:val="22"/>
              </w:rPr>
              <w:t>与递交采购响应保证金账户一致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jc w:val="center"/>
              <w:rPr>
                <w:rFonts w:ascii="仿宋_GB2312" w:hAnsi="宋体" w:eastAsia="仿宋_GB2312"/>
                <w:sz w:val="28"/>
                <w:szCs w:val="28"/>
              </w:rPr>
            </w:pPr>
            <w:r>
              <w:rPr>
                <w:rFonts w:hint="eastAsia" w:ascii="仿宋_GB2312" w:hAnsi="宋体" w:eastAsia="仿宋_GB2312"/>
                <w:sz w:val="28"/>
                <w:szCs w:val="28"/>
              </w:rPr>
              <w:t>账户账号：</w:t>
            </w:r>
          </w:p>
        </w:tc>
        <w:tc>
          <w:tcPr>
            <w:tcW w:w="4678" w:type="dxa"/>
            <w:vAlign w:val="center"/>
          </w:tcPr>
          <w:p>
            <w:pPr>
              <w:jc w:val="center"/>
              <w:rPr>
                <w:rFonts w:ascii="仿宋_GB2312" w:hAnsi="宋体" w:eastAsia="仿宋_GB2312"/>
                <w:sz w:val="28"/>
                <w:szCs w:val="28"/>
              </w:rPr>
            </w:pPr>
          </w:p>
        </w:tc>
        <w:tc>
          <w:tcPr>
            <w:tcW w:w="2063" w:type="dxa"/>
            <w:vAlign w:val="center"/>
          </w:tcPr>
          <w:p>
            <w:pPr>
              <w:jc w:val="center"/>
              <w:rPr>
                <w:rFonts w:ascii="仿宋_GB2312" w:hAnsi="宋体" w:eastAsia="仿宋_GB2312"/>
                <w:sz w:val="28"/>
                <w:szCs w:val="28"/>
              </w:rPr>
            </w:pPr>
            <w:r>
              <w:rPr>
                <w:rFonts w:hint="eastAsia" w:ascii="仿宋_GB2312" w:hAnsi="宋体" w:eastAsia="仿宋_GB2312"/>
                <w:sz w:val="22"/>
              </w:rPr>
              <w:t>与递交采购响应保证金账户一致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jc w:val="center"/>
              <w:rPr>
                <w:rFonts w:ascii="仿宋_GB2312" w:hAnsi="宋体" w:eastAsia="仿宋_GB2312"/>
                <w:sz w:val="28"/>
                <w:szCs w:val="28"/>
              </w:rPr>
            </w:pPr>
            <w:r>
              <w:rPr>
                <w:rFonts w:hint="eastAsia" w:ascii="仿宋_GB2312" w:hAnsi="宋体" w:eastAsia="仿宋_GB2312"/>
                <w:sz w:val="28"/>
                <w:szCs w:val="28"/>
              </w:rPr>
              <w:t>单位地址：</w:t>
            </w:r>
          </w:p>
        </w:tc>
        <w:tc>
          <w:tcPr>
            <w:tcW w:w="4678" w:type="dxa"/>
            <w:vAlign w:val="center"/>
          </w:tcPr>
          <w:p>
            <w:pPr>
              <w:jc w:val="center"/>
              <w:rPr>
                <w:rFonts w:ascii="仿宋_GB2312" w:hAnsi="宋体" w:eastAsia="仿宋_GB2312"/>
                <w:sz w:val="28"/>
                <w:szCs w:val="28"/>
              </w:rPr>
            </w:pPr>
          </w:p>
        </w:tc>
        <w:tc>
          <w:tcPr>
            <w:tcW w:w="2063" w:type="dxa"/>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jc w:val="center"/>
              <w:rPr>
                <w:rFonts w:ascii="仿宋_GB2312" w:hAnsi="宋体" w:eastAsia="仿宋_GB2312"/>
                <w:sz w:val="28"/>
                <w:szCs w:val="28"/>
              </w:rPr>
            </w:pPr>
            <w:r>
              <w:rPr>
                <w:rFonts w:hint="eastAsia" w:ascii="仿宋_GB2312" w:hAnsi="宋体" w:eastAsia="仿宋_GB2312"/>
                <w:sz w:val="28"/>
                <w:szCs w:val="28"/>
              </w:rPr>
              <w:t>联系人：</w:t>
            </w:r>
          </w:p>
        </w:tc>
        <w:tc>
          <w:tcPr>
            <w:tcW w:w="4678" w:type="dxa"/>
            <w:vAlign w:val="center"/>
          </w:tcPr>
          <w:p>
            <w:pPr>
              <w:jc w:val="center"/>
              <w:rPr>
                <w:rFonts w:ascii="仿宋_GB2312" w:hAnsi="宋体" w:eastAsia="仿宋_GB2312"/>
                <w:sz w:val="28"/>
                <w:szCs w:val="28"/>
              </w:rPr>
            </w:pPr>
          </w:p>
        </w:tc>
        <w:tc>
          <w:tcPr>
            <w:tcW w:w="2063" w:type="dxa"/>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jc w:val="center"/>
              <w:rPr>
                <w:rFonts w:ascii="仿宋_GB2312" w:hAnsi="宋体" w:eastAsia="仿宋_GB2312"/>
                <w:sz w:val="28"/>
                <w:szCs w:val="28"/>
              </w:rPr>
            </w:pPr>
            <w:r>
              <w:rPr>
                <w:rFonts w:hint="eastAsia" w:ascii="仿宋_GB2312" w:hAnsi="宋体" w:eastAsia="仿宋_GB2312"/>
                <w:sz w:val="28"/>
                <w:szCs w:val="28"/>
              </w:rPr>
              <w:t>联系电话：</w:t>
            </w:r>
          </w:p>
        </w:tc>
        <w:tc>
          <w:tcPr>
            <w:tcW w:w="4678" w:type="dxa"/>
            <w:vAlign w:val="center"/>
          </w:tcPr>
          <w:p>
            <w:pPr>
              <w:jc w:val="center"/>
              <w:rPr>
                <w:rFonts w:ascii="仿宋_GB2312" w:hAnsi="宋体" w:eastAsia="仿宋_GB2312"/>
                <w:sz w:val="28"/>
                <w:szCs w:val="28"/>
              </w:rPr>
            </w:pPr>
          </w:p>
        </w:tc>
        <w:tc>
          <w:tcPr>
            <w:tcW w:w="2063" w:type="dxa"/>
            <w:vAlign w:val="center"/>
          </w:tcPr>
          <w:p>
            <w:pPr>
              <w:jc w:val="center"/>
              <w:rPr>
                <w:rFonts w:ascii="仿宋_GB2312" w:hAnsi="宋体" w:eastAsia="仿宋_GB2312"/>
                <w:sz w:val="28"/>
                <w:szCs w:val="28"/>
              </w:rPr>
            </w:pPr>
          </w:p>
        </w:tc>
      </w:tr>
    </w:tbl>
    <w:p/>
    <w:p/>
    <w:p/>
    <w:p/>
    <w:p/>
    <w:p/>
    <w:p/>
    <w:p/>
    <w:p/>
    <w:p>
      <w:pPr>
        <w:pStyle w:val="4"/>
      </w:pPr>
    </w:p>
    <w:p/>
    <w:p>
      <w:pPr>
        <w:pStyle w:val="4"/>
      </w:pPr>
    </w:p>
    <w:p/>
    <w:p>
      <w:pPr>
        <w:pStyle w:val="4"/>
      </w:pPr>
    </w:p>
    <w:p/>
    <w:p>
      <w:pPr>
        <w:pStyle w:val="4"/>
        <w:spacing w:before="240" w:beforeLines="100"/>
        <w:rPr>
          <w:rFonts w:ascii="方正黑体_GBK" w:hAnsi="方正黑体_GBK" w:eastAsia="方正黑体_GBK" w:cs="方正黑体_GBK"/>
          <w:b w:val="0"/>
          <w:bCs w:val="0"/>
          <w:sz w:val="28"/>
        </w:rPr>
      </w:pPr>
      <w:r>
        <w:rPr>
          <w:rFonts w:hint="eastAsia" w:ascii="方正黑体_GBK" w:hAnsi="方正黑体_GBK" w:eastAsia="方正黑体_GBK" w:cs="方正黑体_GBK"/>
          <w:b w:val="0"/>
          <w:bCs w:val="0"/>
          <w:sz w:val="28"/>
        </w:rPr>
        <w:t xml:space="preserve">    八、商务偏离表</w:t>
      </w:r>
    </w:p>
    <w:p>
      <w:pPr>
        <w:spacing w:line="360" w:lineRule="auto"/>
        <w:jc w:val="center"/>
        <w:rPr>
          <w:rFonts w:ascii="方正仿宋_GBK" w:hAnsi="宋体" w:eastAsia="方正仿宋_GBK"/>
          <w:sz w:val="30"/>
          <w:szCs w:val="30"/>
        </w:rPr>
      </w:pPr>
      <w:r>
        <w:rPr>
          <w:rFonts w:hint="eastAsia" w:ascii="方正仿宋_GBK" w:eastAsia="方正仿宋_GBK"/>
          <w:b/>
          <w:bCs/>
          <w:sz w:val="30"/>
          <w:szCs w:val="30"/>
        </w:rPr>
        <w:t>商务偏差表</w:t>
      </w:r>
    </w:p>
    <w:p>
      <w:pPr>
        <w:spacing w:line="360" w:lineRule="auto"/>
        <w:ind w:firstLine="420" w:firstLineChars="200"/>
      </w:pPr>
      <w:r>
        <w:rPr>
          <w:rFonts w:hint="eastAsia" w:ascii="方正仿宋_GBK" w:hAnsi="宋体" w:eastAsia="方正仿宋_GBK"/>
          <w:szCs w:val="21"/>
        </w:rPr>
        <w:t>采购项目名称：</w:t>
      </w:r>
    </w:p>
    <w:tbl>
      <w:tblPr>
        <w:tblStyle w:val="15"/>
        <w:tblW w:w="97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3398"/>
        <w:gridCol w:w="2323"/>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6" w:type="dxa"/>
            <w:vAlign w:val="center"/>
          </w:tcPr>
          <w:p>
            <w:pPr>
              <w:jc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Cs/>
                <w:color w:val="000000"/>
                <w:szCs w:val="21"/>
              </w:rPr>
              <w:t>序号</w:t>
            </w:r>
          </w:p>
        </w:tc>
        <w:tc>
          <w:tcPr>
            <w:tcW w:w="3398" w:type="dxa"/>
            <w:vAlign w:val="center"/>
          </w:tcPr>
          <w:p>
            <w:pPr>
              <w:jc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color w:val="000000"/>
                <w:szCs w:val="21"/>
              </w:rPr>
              <w:t>商务条款</w:t>
            </w:r>
          </w:p>
        </w:tc>
        <w:tc>
          <w:tcPr>
            <w:tcW w:w="2323" w:type="dxa"/>
            <w:vAlign w:val="center"/>
          </w:tcPr>
          <w:p>
            <w:pPr>
              <w:jc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color w:val="000000"/>
                <w:szCs w:val="21"/>
              </w:rPr>
              <w:t>供应商商务应答</w:t>
            </w:r>
          </w:p>
        </w:tc>
        <w:tc>
          <w:tcPr>
            <w:tcW w:w="2428" w:type="dxa"/>
            <w:vAlign w:val="center"/>
          </w:tcPr>
          <w:p>
            <w:pPr>
              <w:jc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color w:val="000000"/>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6" w:type="dxa"/>
            <w:vAlign w:val="center"/>
          </w:tcPr>
          <w:p>
            <w:pPr>
              <w:jc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szCs w:val="21"/>
              </w:rPr>
              <w:t>1</w:t>
            </w:r>
          </w:p>
        </w:tc>
        <w:tc>
          <w:tcPr>
            <w:tcW w:w="3398"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采购范围：按磋商文件要求执行。</w:t>
            </w:r>
          </w:p>
        </w:tc>
        <w:tc>
          <w:tcPr>
            <w:tcW w:w="2323" w:type="dxa"/>
            <w:vAlign w:val="center"/>
          </w:tcPr>
          <w:p>
            <w:pPr>
              <w:jc w:val="center"/>
              <w:rPr>
                <w:rFonts w:ascii="方正仿宋_GBK" w:hAnsi="方正仿宋_GBK" w:eastAsia="方正仿宋_GBK" w:cs="方正仿宋_GBK"/>
                <w:b/>
                <w:color w:val="000000"/>
                <w:szCs w:val="21"/>
              </w:rPr>
            </w:pPr>
          </w:p>
        </w:tc>
        <w:tc>
          <w:tcPr>
            <w:tcW w:w="2428" w:type="dxa"/>
            <w:vAlign w:val="center"/>
          </w:tcPr>
          <w:p>
            <w:pPr>
              <w:jc w:val="center"/>
              <w:rPr>
                <w:rFonts w:ascii="方正仿宋_GBK" w:hAnsi="方正仿宋_GBK" w:eastAsia="方正仿宋_GBK" w:cs="方正仿宋_GBK"/>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6" w:type="dxa"/>
            <w:vAlign w:val="center"/>
          </w:tcPr>
          <w:p>
            <w:pPr>
              <w:jc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szCs w:val="21"/>
              </w:rPr>
              <w:t>2</w:t>
            </w:r>
          </w:p>
        </w:tc>
        <w:tc>
          <w:tcPr>
            <w:tcW w:w="3398"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计划工期：按磋商文件要求执行。</w:t>
            </w:r>
          </w:p>
        </w:tc>
        <w:tc>
          <w:tcPr>
            <w:tcW w:w="2323" w:type="dxa"/>
            <w:vAlign w:val="center"/>
          </w:tcPr>
          <w:p>
            <w:pPr>
              <w:jc w:val="center"/>
              <w:rPr>
                <w:rFonts w:ascii="方正仿宋_GBK" w:hAnsi="方正仿宋_GBK" w:eastAsia="方正仿宋_GBK" w:cs="方正仿宋_GBK"/>
                <w:b/>
                <w:color w:val="000000"/>
                <w:szCs w:val="21"/>
              </w:rPr>
            </w:pPr>
          </w:p>
        </w:tc>
        <w:tc>
          <w:tcPr>
            <w:tcW w:w="2428" w:type="dxa"/>
            <w:vAlign w:val="center"/>
          </w:tcPr>
          <w:p>
            <w:pPr>
              <w:jc w:val="center"/>
              <w:rPr>
                <w:rFonts w:ascii="方正仿宋_GBK" w:hAnsi="方正仿宋_GBK" w:eastAsia="方正仿宋_GBK" w:cs="方正仿宋_GBK"/>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6" w:type="dxa"/>
            <w:vAlign w:val="center"/>
          </w:tcPr>
          <w:p>
            <w:pPr>
              <w:jc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szCs w:val="21"/>
              </w:rPr>
              <w:t>3</w:t>
            </w:r>
          </w:p>
        </w:tc>
        <w:tc>
          <w:tcPr>
            <w:tcW w:w="3398"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建设地点：按磋商文件要求执行。</w:t>
            </w:r>
          </w:p>
        </w:tc>
        <w:tc>
          <w:tcPr>
            <w:tcW w:w="2323" w:type="dxa"/>
            <w:vAlign w:val="center"/>
          </w:tcPr>
          <w:p>
            <w:pPr>
              <w:jc w:val="center"/>
              <w:rPr>
                <w:rFonts w:ascii="方正仿宋_GBK" w:hAnsi="方正仿宋_GBK" w:eastAsia="方正仿宋_GBK" w:cs="方正仿宋_GBK"/>
                <w:b/>
                <w:color w:val="000000"/>
                <w:szCs w:val="21"/>
              </w:rPr>
            </w:pPr>
          </w:p>
        </w:tc>
        <w:tc>
          <w:tcPr>
            <w:tcW w:w="2428" w:type="dxa"/>
            <w:vAlign w:val="center"/>
          </w:tcPr>
          <w:p>
            <w:pPr>
              <w:jc w:val="center"/>
              <w:rPr>
                <w:rFonts w:ascii="方正仿宋_GBK" w:hAnsi="方正仿宋_GBK" w:eastAsia="方正仿宋_GBK" w:cs="方正仿宋_GBK"/>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6" w:type="dxa"/>
            <w:vAlign w:val="center"/>
          </w:tcPr>
          <w:p>
            <w:pPr>
              <w:jc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szCs w:val="21"/>
              </w:rPr>
              <w:t>4</w:t>
            </w:r>
          </w:p>
        </w:tc>
        <w:tc>
          <w:tcPr>
            <w:tcW w:w="3398"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质量要求：按磋商文件要求执行。</w:t>
            </w:r>
          </w:p>
        </w:tc>
        <w:tc>
          <w:tcPr>
            <w:tcW w:w="2323" w:type="dxa"/>
            <w:vAlign w:val="center"/>
          </w:tcPr>
          <w:p>
            <w:pPr>
              <w:jc w:val="center"/>
              <w:rPr>
                <w:rFonts w:ascii="方正仿宋_GBK" w:hAnsi="方正仿宋_GBK" w:eastAsia="方正仿宋_GBK" w:cs="方正仿宋_GBK"/>
                <w:b/>
                <w:color w:val="000000"/>
                <w:szCs w:val="21"/>
              </w:rPr>
            </w:pPr>
          </w:p>
        </w:tc>
        <w:tc>
          <w:tcPr>
            <w:tcW w:w="2428" w:type="dxa"/>
            <w:vAlign w:val="center"/>
          </w:tcPr>
          <w:p>
            <w:pPr>
              <w:jc w:val="center"/>
              <w:rPr>
                <w:rFonts w:ascii="方正仿宋_GBK" w:hAnsi="方正仿宋_GBK" w:eastAsia="方正仿宋_GBK" w:cs="方正仿宋_GBK"/>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6" w:type="dxa"/>
            <w:vAlign w:val="center"/>
          </w:tcPr>
          <w:p>
            <w:pPr>
              <w:jc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szCs w:val="21"/>
              </w:rPr>
              <w:t>5</w:t>
            </w:r>
          </w:p>
        </w:tc>
        <w:tc>
          <w:tcPr>
            <w:tcW w:w="3398"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质保期：按磋商文件要求执行。</w:t>
            </w:r>
          </w:p>
        </w:tc>
        <w:tc>
          <w:tcPr>
            <w:tcW w:w="2323" w:type="dxa"/>
            <w:vAlign w:val="center"/>
          </w:tcPr>
          <w:p>
            <w:pPr>
              <w:jc w:val="center"/>
              <w:rPr>
                <w:rFonts w:ascii="方正仿宋_GBK" w:hAnsi="方正仿宋_GBK" w:eastAsia="方正仿宋_GBK" w:cs="方正仿宋_GBK"/>
                <w:b/>
                <w:color w:val="000000"/>
                <w:szCs w:val="21"/>
              </w:rPr>
            </w:pPr>
          </w:p>
        </w:tc>
        <w:tc>
          <w:tcPr>
            <w:tcW w:w="2428" w:type="dxa"/>
            <w:vAlign w:val="center"/>
          </w:tcPr>
          <w:p>
            <w:pPr>
              <w:jc w:val="center"/>
              <w:rPr>
                <w:rFonts w:ascii="方正仿宋_GBK" w:hAnsi="方正仿宋_GBK" w:eastAsia="方正仿宋_GBK" w:cs="方正仿宋_GBK"/>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6" w:type="dxa"/>
            <w:vAlign w:val="center"/>
          </w:tcPr>
          <w:p>
            <w:pPr>
              <w:jc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szCs w:val="21"/>
              </w:rPr>
              <w:t>6</w:t>
            </w:r>
          </w:p>
        </w:tc>
        <w:tc>
          <w:tcPr>
            <w:tcW w:w="3398"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履约保证金：按磋商文件要求执行。</w:t>
            </w:r>
          </w:p>
        </w:tc>
        <w:tc>
          <w:tcPr>
            <w:tcW w:w="2323" w:type="dxa"/>
            <w:vAlign w:val="center"/>
          </w:tcPr>
          <w:p>
            <w:pPr>
              <w:jc w:val="center"/>
              <w:rPr>
                <w:rFonts w:ascii="方正仿宋_GBK" w:hAnsi="方正仿宋_GBK" w:eastAsia="方正仿宋_GBK" w:cs="方正仿宋_GBK"/>
                <w:b/>
                <w:color w:val="000000"/>
                <w:szCs w:val="21"/>
              </w:rPr>
            </w:pPr>
          </w:p>
        </w:tc>
        <w:tc>
          <w:tcPr>
            <w:tcW w:w="2428" w:type="dxa"/>
            <w:vAlign w:val="center"/>
          </w:tcPr>
          <w:p>
            <w:pPr>
              <w:jc w:val="center"/>
              <w:rPr>
                <w:rFonts w:ascii="方正仿宋_GBK" w:hAnsi="方正仿宋_GBK" w:eastAsia="方正仿宋_GBK" w:cs="方正仿宋_GBK"/>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6" w:type="dxa"/>
            <w:vAlign w:val="center"/>
          </w:tcPr>
          <w:p>
            <w:pPr>
              <w:jc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szCs w:val="21"/>
              </w:rPr>
              <w:t>7</w:t>
            </w:r>
          </w:p>
        </w:tc>
        <w:tc>
          <w:tcPr>
            <w:tcW w:w="3398" w:type="dxa"/>
            <w:vAlign w:val="center"/>
          </w:tcPr>
          <w:p>
            <w:pPr>
              <w:spacing w:line="320" w:lineRule="exact"/>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承包人资质条件、能力和信誉要求：按磋商文件要求执行。</w:t>
            </w:r>
          </w:p>
        </w:tc>
        <w:tc>
          <w:tcPr>
            <w:tcW w:w="2323" w:type="dxa"/>
            <w:vAlign w:val="center"/>
          </w:tcPr>
          <w:p>
            <w:pPr>
              <w:jc w:val="center"/>
              <w:rPr>
                <w:rFonts w:ascii="方正仿宋_GBK" w:hAnsi="方正仿宋_GBK" w:eastAsia="方正仿宋_GBK" w:cs="方正仿宋_GBK"/>
                <w:b/>
                <w:color w:val="000000"/>
                <w:szCs w:val="21"/>
              </w:rPr>
            </w:pPr>
          </w:p>
        </w:tc>
        <w:tc>
          <w:tcPr>
            <w:tcW w:w="2428" w:type="dxa"/>
            <w:vAlign w:val="center"/>
          </w:tcPr>
          <w:p>
            <w:pPr>
              <w:jc w:val="center"/>
              <w:rPr>
                <w:rFonts w:ascii="方正仿宋_GBK" w:hAnsi="方正仿宋_GBK" w:eastAsia="方正仿宋_GBK" w:cs="方正仿宋_GBK"/>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6" w:type="dxa"/>
            <w:vAlign w:val="center"/>
          </w:tcPr>
          <w:p>
            <w:pPr>
              <w:jc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szCs w:val="21"/>
              </w:rPr>
              <w:t>8</w:t>
            </w:r>
          </w:p>
        </w:tc>
        <w:tc>
          <w:tcPr>
            <w:tcW w:w="3398"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报价要求：按磋商文件要求执行。</w:t>
            </w:r>
          </w:p>
        </w:tc>
        <w:tc>
          <w:tcPr>
            <w:tcW w:w="2323" w:type="dxa"/>
            <w:vAlign w:val="center"/>
          </w:tcPr>
          <w:p>
            <w:pPr>
              <w:jc w:val="center"/>
              <w:rPr>
                <w:rFonts w:ascii="方正仿宋_GBK" w:hAnsi="方正仿宋_GBK" w:eastAsia="方正仿宋_GBK" w:cs="方正仿宋_GBK"/>
                <w:b/>
                <w:color w:val="000000"/>
                <w:szCs w:val="21"/>
              </w:rPr>
            </w:pPr>
          </w:p>
        </w:tc>
        <w:tc>
          <w:tcPr>
            <w:tcW w:w="2428" w:type="dxa"/>
            <w:vAlign w:val="center"/>
          </w:tcPr>
          <w:p>
            <w:pPr>
              <w:jc w:val="center"/>
              <w:rPr>
                <w:rFonts w:ascii="方正仿宋_GBK" w:hAnsi="方正仿宋_GBK" w:eastAsia="方正仿宋_GBK" w:cs="方正仿宋_GBK"/>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6" w:type="dxa"/>
            <w:vAlign w:val="center"/>
          </w:tcPr>
          <w:p>
            <w:pPr>
              <w:jc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szCs w:val="21"/>
              </w:rPr>
              <w:t>9</w:t>
            </w:r>
          </w:p>
        </w:tc>
        <w:tc>
          <w:tcPr>
            <w:tcW w:w="3398"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结算办法：按磋商文件要求执行。</w:t>
            </w:r>
          </w:p>
        </w:tc>
        <w:tc>
          <w:tcPr>
            <w:tcW w:w="2323" w:type="dxa"/>
            <w:vAlign w:val="center"/>
          </w:tcPr>
          <w:p>
            <w:pPr>
              <w:jc w:val="center"/>
              <w:rPr>
                <w:rFonts w:ascii="方正仿宋_GBK" w:hAnsi="方正仿宋_GBK" w:eastAsia="方正仿宋_GBK" w:cs="方正仿宋_GBK"/>
                <w:b/>
                <w:color w:val="000000"/>
                <w:szCs w:val="21"/>
              </w:rPr>
            </w:pPr>
          </w:p>
        </w:tc>
        <w:tc>
          <w:tcPr>
            <w:tcW w:w="2428" w:type="dxa"/>
            <w:vAlign w:val="center"/>
          </w:tcPr>
          <w:p>
            <w:pPr>
              <w:jc w:val="center"/>
              <w:rPr>
                <w:rFonts w:ascii="方正仿宋_GBK" w:hAnsi="方正仿宋_GBK" w:eastAsia="方正仿宋_GBK" w:cs="方正仿宋_GBK"/>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6" w:type="dxa"/>
            <w:vAlign w:val="center"/>
          </w:tcPr>
          <w:p>
            <w:pPr>
              <w:jc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szCs w:val="21"/>
              </w:rPr>
              <w:t>10</w:t>
            </w:r>
          </w:p>
        </w:tc>
        <w:tc>
          <w:tcPr>
            <w:tcW w:w="3398" w:type="dxa"/>
            <w:vAlign w:val="center"/>
          </w:tcPr>
          <w:p>
            <w:pPr>
              <w:spacing w:line="360" w:lineRule="auto"/>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付款方式：按磋商文件要求执行。</w:t>
            </w:r>
          </w:p>
        </w:tc>
        <w:tc>
          <w:tcPr>
            <w:tcW w:w="2323" w:type="dxa"/>
            <w:vAlign w:val="center"/>
          </w:tcPr>
          <w:p>
            <w:pPr>
              <w:jc w:val="center"/>
              <w:rPr>
                <w:rFonts w:ascii="方正仿宋_GBK" w:hAnsi="方正仿宋_GBK" w:eastAsia="方正仿宋_GBK" w:cs="方正仿宋_GBK"/>
                <w:b/>
                <w:color w:val="000000"/>
                <w:szCs w:val="21"/>
              </w:rPr>
            </w:pPr>
          </w:p>
        </w:tc>
        <w:tc>
          <w:tcPr>
            <w:tcW w:w="2428" w:type="dxa"/>
            <w:vAlign w:val="center"/>
          </w:tcPr>
          <w:p>
            <w:pPr>
              <w:jc w:val="center"/>
              <w:rPr>
                <w:rFonts w:ascii="方正仿宋_GBK" w:hAnsi="方正仿宋_GBK" w:eastAsia="方正仿宋_GBK" w:cs="方正仿宋_GBK"/>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6" w:type="dxa"/>
            <w:vAlign w:val="center"/>
          </w:tcPr>
          <w:p>
            <w:pPr>
              <w:jc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szCs w:val="21"/>
              </w:rPr>
              <w:t>11</w:t>
            </w:r>
          </w:p>
        </w:tc>
        <w:tc>
          <w:tcPr>
            <w:tcW w:w="3398"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竣工验收：按磋商文件要求执行。</w:t>
            </w:r>
          </w:p>
        </w:tc>
        <w:tc>
          <w:tcPr>
            <w:tcW w:w="2323" w:type="dxa"/>
            <w:vAlign w:val="center"/>
          </w:tcPr>
          <w:p>
            <w:pPr>
              <w:jc w:val="center"/>
              <w:rPr>
                <w:rFonts w:ascii="方正仿宋_GBK" w:hAnsi="方正仿宋_GBK" w:eastAsia="方正仿宋_GBK" w:cs="方正仿宋_GBK"/>
                <w:b/>
                <w:color w:val="000000"/>
                <w:szCs w:val="21"/>
              </w:rPr>
            </w:pPr>
          </w:p>
        </w:tc>
        <w:tc>
          <w:tcPr>
            <w:tcW w:w="2428" w:type="dxa"/>
            <w:vAlign w:val="center"/>
          </w:tcPr>
          <w:p>
            <w:pPr>
              <w:jc w:val="center"/>
              <w:rPr>
                <w:rFonts w:ascii="方正仿宋_GBK" w:hAnsi="方正仿宋_GBK" w:eastAsia="方正仿宋_GBK" w:cs="方正仿宋_GBK"/>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6" w:type="dxa"/>
            <w:vAlign w:val="center"/>
          </w:tcPr>
          <w:p>
            <w:pPr>
              <w:jc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szCs w:val="21"/>
              </w:rPr>
              <w:t>12</w:t>
            </w:r>
          </w:p>
        </w:tc>
        <w:tc>
          <w:tcPr>
            <w:tcW w:w="3398" w:type="dxa"/>
            <w:vAlign w:val="center"/>
          </w:tcPr>
          <w:p>
            <w:pPr>
              <w:spacing w:line="320" w:lineRule="exact"/>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工程配合要求：按磋商文件要求执行。</w:t>
            </w:r>
          </w:p>
        </w:tc>
        <w:tc>
          <w:tcPr>
            <w:tcW w:w="2323" w:type="dxa"/>
            <w:vAlign w:val="center"/>
          </w:tcPr>
          <w:p>
            <w:pPr>
              <w:jc w:val="center"/>
              <w:rPr>
                <w:rFonts w:ascii="方正仿宋_GBK" w:hAnsi="方正仿宋_GBK" w:eastAsia="方正仿宋_GBK" w:cs="方正仿宋_GBK"/>
                <w:b/>
                <w:color w:val="000000"/>
                <w:szCs w:val="21"/>
              </w:rPr>
            </w:pPr>
          </w:p>
        </w:tc>
        <w:tc>
          <w:tcPr>
            <w:tcW w:w="2428" w:type="dxa"/>
            <w:vAlign w:val="center"/>
          </w:tcPr>
          <w:p>
            <w:pPr>
              <w:jc w:val="center"/>
              <w:rPr>
                <w:rFonts w:ascii="方正仿宋_GBK" w:hAnsi="方正仿宋_GBK" w:eastAsia="方正仿宋_GBK" w:cs="方正仿宋_GBK"/>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6" w:type="dxa"/>
            <w:vAlign w:val="center"/>
          </w:tcPr>
          <w:p>
            <w:pPr>
              <w:jc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szCs w:val="21"/>
              </w:rPr>
              <w:t>13</w:t>
            </w:r>
          </w:p>
        </w:tc>
        <w:tc>
          <w:tcPr>
            <w:tcW w:w="3398" w:type="dxa"/>
            <w:vAlign w:val="center"/>
          </w:tcPr>
          <w:p>
            <w:pPr>
              <w:spacing w:line="320" w:lineRule="exact"/>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磋商响应有效期：自提交日起180日（日历天）</w:t>
            </w:r>
          </w:p>
        </w:tc>
        <w:tc>
          <w:tcPr>
            <w:tcW w:w="2323" w:type="dxa"/>
            <w:vAlign w:val="center"/>
          </w:tcPr>
          <w:p>
            <w:pPr>
              <w:jc w:val="center"/>
              <w:rPr>
                <w:rFonts w:ascii="方正仿宋_GBK" w:hAnsi="方正仿宋_GBK" w:eastAsia="方正仿宋_GBK" w:cs="方正仿宋_GBK"/>
                <w:b/>
                <w:color w:val="000000"/>
                <w:szCs w:val="21"/>
              </w:rPr>
            </w:pPr>
          </w:p>
        </w:tc>
        <w:tc>
          <w:tcPr>
            <w:tcW w:w="2428" w:type="dxa"/>
            <w:vAlign w:val="center"/>
          </w:tcPr>
          <w:p>
            <w:pPr>
              <w:jc w:val="center"/>
              <w:rPr>
                <w:rFonts w:ascii="方正仿宋_GBK" w:hAnsi="方正仿宋_GBK" w:eastAsia="方正仿宋_GBK" w:cs="方正仿宋_GBK"/>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6" w:type="dxa"/>
            <w:vAlign w:val="center"/>
          </w:tcPr>
          <w:p>
            <w:pPr>
              <w:jc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szCs w:val="21"/>
              </w:rPr>
              <w:t>……</w:t>
            </w:r>
          </w:p>
        </w:tc>
        <w:tc>
          <w:tcPr>
            <w:tcW w:w="3398" w:type="dxa"/>
            <w:vAlign w:val="center"/>
          </w:tcPr>
          <w:p>
            <w:pPr>
              <w:jc w:val="center"/>
              <w:rPr>
                <w:rFonts w:ascii="方正仿宋_GBK" w:hAnsi="方正仿宋_GBK" w:eastAsia="方正仿宋_GBK" w:cs="方正仿宋_GBK"/>
                <w:b/>
                <w:color w:val="000000"/>
                <w:szCs w:val="21"/>
              </w:rPr>
            </w:pPr>
          </w:p>
        </w:tc>
        <w:tc>
          <w:tcPr>
            <w:tcW w:w="2323" w:type="dxa"/>
            <w:vAlign w:val="center"/>
          </w:tcPr>
          <w:p>
            <w:pPr>
              <w:jc w:val="center"/>
              <w:rPr>
                <w:rFonts w:ascii="方正仿宋_GBK" w:hAnsi="方正仿宋_GBK" w:eastAsia="方正仿宋_GBK" w:cs="方正仿宋_GBK"/>
                <w:b/>
                <w:color w:val="000000"/>
                <w:szCs w:val="21"/>
              </w:rPr>
            </w:pPr>
          </w:p>
        </w:tc>
        <w:tc>
          <w:tcPr>
            <w:tcW w:w="2428" w:type="dxa"/>
            <w:vAlign w:val="center"/>
          </w:tcPr>
          <w:p>
            <w:pPr>
              <w:jc w:val="center"/>
              <w:rPr>
                <w:rFonts w:ascii="方正仿宋_GBK" w:hAnsi="方正仿宋_GBK" w:eastAsia="方正仿宋_GBK" w:cs="方正仿宋_GBK"/>
                <w:b/>
                <w:color w:val="000000"/>
                <w:szCs w:val="21"/>
              </w:rPr>
            </w:pPr>
          </w:p>
        </w:tc>
      </w:tr>
    </w:tbl>
    <w:p>
      <w:pPr>
        <w:pStyle w:val="6"/>
        <w:spacing w:line="360" w:lineRule="auto"/>
        <w:ind w:firstLine="482" w:firstLineChars="200"/>
        <w:jc w:val="center"/>
        <w:rPr>
          <w:rFonts w:hAnsi="宋体"/>
          <w:b/>
          <w:sz w:val="24"/>
        </w:rPr>
      </w:pPr>
    </w:p>
    <w:p>
      <w:pPr>
        <w:spacing w:line="360" w:lineRule="auto"/>
        <w:rPr>
          <w:rFonts w:ascii="方正仿宋_GBK" w:hAnsi="宋体" w:eastAsia="方正仿宋_GBK"/>
          <w:szCs w:val="21"/>
        </w:rPr>
      </w:pPr>
      <w:r>
        <w:rPr>
          <w:rFonts w:hint="eastAsia" w:ascii="方正仿宋_GBK" w:hAnsi="宋体" w:eastAsia="方正仿宋_GBK"/>
          <w:szCs w:val="21"/>
        </w:rPr>
        <w:t xml:space="preserve">    注：1、该表内容以采购文件正文为准，根据响应文件情况在“差异说明”项填写正偏离或负偏离及原因，完全符合的填写“无差异”。</w:t>
      </w:r>
    </w:p>
    <w:p>
      <w:pPr>
        <w:spacing w:line="360" w:lineRule="auto"/>
        <w:rPr>
          <w:rFonts w:ascii="方正仿宋_GBK" w:hAnsi="宋体" w:eastAsia="方正仿宋_GBK"/>
          <w:szCs w:val="21"/>
        </w:rPr>
      </w:pPr>
      <w:r>
        <w:rPr>
          <w:rFonts w:hint="eastAsia" w:ascii="方正仿宋_GBK" w:hAnsi="宋体" w:eastAsia="方正仿宋_GBK"/>
          <w:szCs w:val="21"/>
        </w:rPr>
        <w:t xml:space="preserve">        2、该表可扩展。</w:t>
      </w:r>
    </w:p>
    <w:p>
      <w:pPr>
        <w:pStyle w:val="6"/>
        <w:spacing w:line="360" w:lineRule="auto"/>
        <w:ind w:firstLine="480" w:firstLineChars="200"/>
        <w:rPr>
          <w:rFonts w:hAnsi="宋体"/>
          <w:sz w:val="24"/>
        </w:rPr>
      </w:pPr>
    </w:p>
    <w:p>
      <w:pPr>
        <w:pStyle w:val="6"/>
        <w:spacing w:line="360" w:lineRule="auto"/>
        <w:ind w:firstLine="480" w:firstLineChars="200"/>
        <w:rPr>
          <w:rFonts w:hAnsi="宋体"/>
          <w:sz w:val="24"/>
        </w:rPr>
      </w:pPr>
    </w:p>
    <w:p>
      <w:pPr>
        <w:pStyle w:val="6"/>
        <w:spacing w:line="360" w:lineRule="auto"/>
        <w:ind w:firstLine="480" w:firstLineChars="200"/>
        <w:rPr>
          <w:rFonts w:hAnsi="宋体"/>
          <w:sz w:val="24"/>
        </w:rPr>
      </w:pPr>
    </w:p>
    <w:p>
      <w:pPr>
        <w:pStyle w:val="6"/>
        <w:spacing w:line="360" w:lineRule="auto"/>
        <w:ind w:firstLine="480" w:firstLineChars="200"/>
        <w:jc w:val="right"/>
        <w:rPr>
          <w:rFonts w:ascii="方正仿宋_GBK" w:hAnsi="方正仿宋_GBK" w:eastAsia="方正仿宋_GBK" w:cs="方正仿宋_GBK"/>
          <w:bCs/>
          <w:sz w:val="24"/>
        </w:rPr>
      </w:pPr>
    </w:p>
    <w:p>
      <w:pPr>
        <w:pStyle w:val="6"/>
        <w:spacing w:line="360" w:lineRule="auto"/>
        <w:ind w:firstLine="480" w:firstLineChars="200"/>
        <w:jc w:val="right"/>
        <w:rPr>
          <w:rFonts w:ascii="方正仿宋_GBK" w:hAnsi="方正仿宋_GBK" w:eastAsia="方正仿宋_GBK" w:cs="方正仿宋_GBK"/>
          <w:bCs/>
          <w:sz w:val="24"/>
        </w:rPr>
      </w:pPr>
      <w:r>
        <w:rPr>
          <w:rFonts w:hint="eastAsia" w:ascii="方正仿宋_GBK" w:hAnsi="方正仿宋_GBK" w:eastAsia="方正仿宋_GBK" w:cs="方正仿宋_GBK"/>
          <w:bCs/>
          <w:sz w:val="24"/>
        </w:rPr>
        <w:t>供应商名称(公章)：____________________</w:t>
      </w:r>
    </w:p>
    <w:p>
      <w:pPr>
        <w:pStyle w:val="6"/>
        <w:spacing w:line="360" w:lineRule="auto"/>
        <w:ind w:firstLine="480" w:firstLineChars="200"/>
        <w:jc w:val="right"/>
        <w:rPr>
          <w:rFonts w:ascii="方正仿宋_GBK" w:hAnsi="方正仿宋_GBK" w:eastAsia="方正仿宋_GBK" w:cs="方正仿宋_GBK"/>
          <w:bCs/>
          <w:sz w:val="24"/>
        </w:rPr>
      </w:pPr>
      <w:r>
        <w:rPr>
          <w:rFonts w:hint="eastAsia" w:ascii="方正仿宋_GBK" w:hAnsi="方正仿宋_GBK" w:eastAsia="方正仿宋_GBK" w:cs="方正仿宋_GBK"/>
          <w:bCs/>
          <w:sz w:val="24"/>
        </w:rPr>
        <w:t>法定代表人或授权代表(签字或盖章)：____________________</w:t>
      </w:r>
    </w:p>
    <w:p>
      <w:pPr>
        <w:pStyle w:val="6"/>
        <w:spacing w:line="360" w:lineRule="auto"/>
        <w:ind w:firstLine="480" w:firstLineChars="200"/>
        <w:jc w:val="right"/>
        <w:rPr>
          <w:rFonts w:ascii="方正仿宋_GBK" w:hAnsi="方正仿宋_GBK" w:eastAsia="方正仿宋_GBK" w:cs="方正仿宋_GBK"/>
          <w:bCs/>
          <w:sz w:val="24"/>
        </w:rPr>
      </w:pPr>
    </w:p>
    <w:p>
      <w:pPr>
        <w:pStyle w:val="6"/>
        <w:spacing w:line="360" w:lineRule="auto"/>
        <w:ind w:firstLine="480" w:firstLineChars="200"/>
        <w:jc w:val="right"/>
        <w:rPr>
          <w:rFonts w:hAnsi="宋体"/>
          <w:bCs/>
          <w:sz w:val="24"/>
        </w:rPr>
      </w:pPr>
      <w:r>
        <w:rPr>
          <w:rFonts w:hint="eastAsia" w:ascii="方正仿宋_GBK" w:hAnsi="方正仿宋_GBK" w:eastAsia="方正仿宋_GBK" w:cs="方正仿宋_GBK"/>
          <w:bCs/>
          <w:sz w:val="24"/>
        </w:rPr>
        <w:t>____年____月____日</w:t>
      </w:r>
    </w:p>
    <w:p>
      <w:pPr>
        <w:pStyle w:val="6"/>
        <w:spacing w:line="360" w:lineRule="auto"/>
        <w:ind w:firstLine="480" w:firstLineChars="200"/>
        <w:jc w:val="right"/>
        <w:rPr>
          <w:rFonts w:hAnsi="宋体"/>
          <w:bCs/>
          <w:sz w:val="24"/>
        </w:rPr>
        <w:sectPr>
          <w:endnotePr>
            <w:numFmt w:val="decimal"/>
          </w:endnotePr>
          <w:pgSz w:w="11907" w:h="16840"/>
          <w:pgMar w:top="1418" w:right="964" w:bottom="1418" w:left="1077" w:header="964" w:footer="992" w:gutter="0"/>
          <w:pgBorders>
            <w:top w:val="none" w:color="auto" w:sz="0" w:space="0"/>
            <w:left w:val="none" w:color="auto" w:sz="0" w:space="0"/>
            <w:bottom w:val="none" w:color="auto" w:sz="0" w:space="0"/>
            <w:right w:val="none" w:color="auto" w:sz="0" w:space="0"/>
          </w:pgBorders>
          <w:cols w:space="720" w:num="1"/>
          <w:docGrid w:linePitch="380" w:charSpace="-5735"/>
        </w:sectPr>
      </w:pPr>
    </w:p>
    <w:p>
      <w:pPr>
        <w:pStyle w:val="4"/>
        <w:spacing w:before="312" w:beforeLines="100"/>
        <w:ind w:left="420"/>
        <w:rPr>
          <w:rFonts w:ascii="方正黑体_GBK" w:hAnsi="方正黑体_GBK" w:eastAsia="方正黑体_GBK" w:cs="方正黑体_GBK"/>
          <w:b w:val="0"/>
          <w:bCs w:val="0"/>
          <w:color w:val="000000"/>
          <w:sz w:val="28"/>
        </w:rPr>
      </w:pPr>
      <w:r>
        <w:rPr>
          <w:rFonts w:hint="eastAsia" w:ascii="方正黑体_GBK" w:hAnsi="方正黑体_GBK" w:eastAsia="方正黑体_GBK" w:cs="方正黑体_GBK"/>
          <w:b w:val="0"/>
          <w:bCs w:val="0"/>
          <w:color w:val="000000"/>
          <w:sz w:val="28"/>
        </w:rPr>
        <w:t>九、供应商的其他资料或承诺（如果有）</w:t>
      </w:r>
    </w:p>
    <w:p>
      <w:pPr>
        <w:pStyle w:val="4"/>
        <w:spacing w:before="312" w:beforeLines="100"/>
        <w:rPr>
          <w:rFonts w:ascii="方正黑体_GBK" w:hAnsi="方正黑体_GBK" w:eastAsia="方正黑体_GBK" w:cs="方正黑体_GBK"/>
          <w:b w:val="0"/>
          <w:bCs w:val="0"/>
          <w:sz w:val="28"/>
        </w:rPr>
      </w:pPr>
      <w:r>
        <w:rPr>
          <w:rFonts w:hint="eastAsia" w:ascii="方正黑体_GBK" w:hAnsi="方正黑体_GBK" w:eastAsia="方正黑体_GBK" w:cs="方正黑体_GBK"/>
          <w:b w:val="0"/>
          <w:bCs w:val="0"/>
          <w:sz w:val="28"/>
        </w:rPr>
        <w:t xml:space="preserve">   十、电子文档（包含全套响应盖章资料的U盘）</w:t>
      </w:r>
    </w:p>
    <w:p>
      <w:pPr>
        <w:pStyle w:val="4"/>
      </w:pPr>
    </w:p>
    <w:p/>
    <w:p>
      <w:pPr>
        <w:pStyle w:val="4"/>
      </w:pPr>
    </w:p>
    <w:p/>
    <w:p/>
    <w:p/>
    <w:p/>
    <w:p>
      <w:pPr>
        <w:pStyle w:val="4"/>
      </w:pPr>
    </w:p>
    <w:p/>
    <w:p>
      <w:pPr>
        <w:pStyle w:val="4"/>
      </w:pPr>
    </w:p>
    <w:bookmarkEnd w:id="11"/>
    <w:bookmarkEnd w:id="12"/>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r>
        <w:rPr>
          <w:rFonts w:hint="eastAsia" w:ascii="方正仿宋_GBK" w:eastAsia="方正仿宋_GBK"/>
        </w:rPr>
        <w:t>附件1：供应商业绩表</w:t>
      </w:r>
    </w:p>
    <w:p>
      <w:pPr>
        <w:spacing w:line="360" w:lineRule="auto"/>
        <w:jc w:val="center"/>
        <w:rPr>
          <w:rFonts w:ascii="方正仿宋_GBK" w:eastAsia="方正仿宋_GBK"/>
          <w:b/>
          <w:kern w:val="0"/>
          <w:sz w:val="28"/>
          <w:szCs w:val="21"/>
        </w:rPr>
      </w:pPr>
      <w:r>
        <w:rPr>
          <w:rFonts w:hint="eastAsia" w:ascii="方正仿宋_GBK" w:eastAsia="方正仿宋_GBK"/>
          <w:b/>
          <w:kern w:val="0"/>
          <w:sz w:val="28"/>
          <w:szCs w:val="21"/>
        </w:rPr>
        <w:t>案例情况统计</w:t>
      </w:r>
    </w:p>
    <w:p>
      <w:pPr>
        <w:spacing w:line="360" w:lineRule="auto"/>
        <w:ind w:left="-283" w:leftChars="-135" w:right="-57" w:rightChars="-27"/>
        <w:jc w:val="center"/>
        <w:rPr>
          <w:rFonts w:ascii="方正仿宋_GBK" w:eastAsia="方正仿宋_GBK"/>
          <w:b/>
          <w:kern w:val="0"/>
          <w:szCs w:val="21"/>
        </w:rPr>
      </w:pPr>
      <w:r>
        <w:rPr>
          <w:rFonts w:hint="eastAsia" w:ascii="方正仿宋_GBK" w:eastAsia="方正仿宋_GBK"/>
          <w:b/>
          <w:kern w:val="0"/>
          <w:szCs w:val="21"/>
        </w:rPr>
        <w:t>（请供应商根据采购文件要求如实认真填写附件相关表格资料）</w:t>
      </w:r>
    </w:p>
    <w:tbl>
      <w:tblPr>
        <w:tblStyle w:val="15"/>
        <w:tblW w:w="81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832"/>
        <w:gridCol w:w="2410"/>
        <w:gridCol w:w="1985"/>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30" w:type="dxa"/>
            <w:shd w:val="clear" w:color="000000" w:fill="FFFFFF"/>
            <w:vAlign w:val="center"/>
          </w:tcPr>
          <w:p>
            <w:pPr>
              <w:spacing w:line="400" w:lineRule="exact"/>
              <w:jc w:val="center"/>
              <w:rPr>
                <w:rFonts w:ascii="方正仿宋_GBK" w:eastAsia="方正仿宋_GBK"/>
                <w:b/>
                <w:bCs/>
                <w:kern w:val="0"/>
                <w:szCs w:val="21"/>
              </w:rPr>
            </w:pPr>
            <w:r>
              <w:rPr>
                <w:rFonts w:hint="eastAsia" w:ascii="方正仿宋_GBK" w:eastAsia="方正仿宋_GBK"/>
                <w:b/>
                <w:bCs/>
                <w:kern w:val="0"/>
                <w:szCs w:val="21"/>
              </w:rPr>
              <w:t>序号</w:t>
            </w:r>
          </w:p>
        </w:tc>
        <w:tc>
          <w:tcPr>
            <w:tcW w:w="1832" w:type="dxa"/>
            <w:shd w:val="clear" w:color="000000" w:fill="FFFFFF"/>
            <w:vAlign w:val="center"/>
          </w:tcPr>
          <w:p>
            <w:pPr>
              <w:spacing w:line="400" w:lineRule="exact"/>
              <w:jc w:val="center"/>
              <w:rPr>
                <w:rFonts w:ascii="方正仿宋_GBK" w:eastAsia="方正仿宋_GBK"/>
                <w:b/>
                <w:bCs/>
                <w:kern w:val="0"/>
                <w:szCs w:val="21"/>
              </w:rPr>
            </w:pPr>
            <w:r>
              <w:rPr>
                <w:rFonts w:hint="eastAsia" w:ascii="方正仿宋_GBK" w:eastAsia="方正仿宋_GBK"/>
                <w:b/>
                <w:bCs/>
                <w:kern w:val="0"/>
                <w:szCs w:val="21"/>
              </w:rPr>
              <w:t>合同签订时间</w:t>
            </w:r>
          </w:p>
        </w:tc>
        <w:tc>
          <w:tcPr>
            <w:tcW w:w="2410" w:type="dxa"/>
            <w:shd w:val="clear" w:color="000000" w:fill="FFFFFF"/>
            <w:vAlign w:val="center"/>
          </w:tcPr>
          <w:p>
            <w:pPr>
              <w:spacing w:line="400" w:lineRule="exact"/>
              <w:jc w:val="center"/>
              <w:rPr>
                <w:rFonts w:ascii="方正仿宋_GBK" w:eastAsia="方正仿宋_GBK"/>
                <w:b/>
                <w:bCs/>
                <w:kern w:val="0"/>
                <w:szCs w:val="21"/>
              </w:rPr>
            </w:pPr>
            <w:r>
              <w:rPr>
                <w:rFonts w:hint="eastAsia" w:ascii="方正仿宋_GBK" w:eastAsia="方正仿宋_GBK"/>
                <w:b/>
                <w:bCs/>
                <w:kern w:val="0"/>
                <w:szCs w:val="21"/>
              </w:rPr>
              <w:t>项目名称</w:t>
            </w:r>
          </w:p>
        </w:tc>
        <w:tc>
          <w:tcPr>
            <w:tcW w:w="1985" w:type="dxa"/>
            <w:shd w:val="clear" w:color="000000" w:fill="FFFFFF"/>
            <w:vAlign w:val="center"/>
          </w:tcPr>
          <w:p>
            <w:pPr>
              <w:spacing w:line="400" w:lineRule="exact"/>
              <w:jc w:val="center"/>
              <w:rPr>
                <w:rFonts w:ascii="方正仿宋_GBK" w:eastAsia="方正仿宋_GBK"/>
                <w:b/>
                <w:bCs/>
                <w:kern w:val="0"/>
                <w:szCs w:val="21"/>
              </w:rPr>
            </w:pPr>
            <w:r>
              <w:rPr>
                <w:rFonts w:hint="eastAsia" w:ascii="方正仿宋_GBK" w:eastAsia="方正仿宋_GBK"/>
                <w:b/>
                <w:bCs/>
                <w:kern w:val="0"/>
                <w:szCs w:val="21"/>
              </w:rPr>
              <w:t>合同采购方名称、联系人及联系方式</w:t>
            </w:r>
          </w:p>
        </w:tc>
        <w:tc>
          <w:tcPr>
            <w:tcW w:w="1003" w:type="dxa"/>
            <w:shd w:val="clear" w:color="000000" w:fill="FFFFFF"/>
            <w:vAlign w:val="center"/>
          </w:tcPr>
          <w:p>
            <w:pPr>
              <w:spacing w:line="400" w:lineRule="exact"/>
              <w:jc w:val="center"/>
              <w:rPr>
                <w:rFonts w:ascii="方正仿宋_GBK" w:eastAsia="方正仿宋_GBK"/>
                <w:b/>
                <w:bCs/>
                <w:kern w:val="0"/>
                <w:szCs w:val="21"/>
              </w:rPr>
            </w:pPr>
            <w:r>
              <w:rPr>
                <w:rFonts w:hint="eastAsia" w:ascii="方正仿宋_GBK" w:eastAsia="方正仿宋_GBK"/>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30" w:type="dxa"/>
            <w:vAlign w:val="center"/>
          </w:tcPr>
          <w:p>
            <w:pPr>
              <w:spacing w:line="400" w:lineRule="exact"/>
              <w:jc w:val="center"/>
              <w:rPr>
                <w:rFonts w:ascii="方正仿宋_GBK" w:eastAsia="方正仿宋_GBK"/>
                <w:b/>
                <w:bCs/>
                <w:kern w:val="0"/>
                <w:szCs w:val="21"/>
              </w:rPr>
            </w:pPr>
            <w:r>
              <w:rPr>
                <w:rFonts w:hint="eastAsia" w:ascii="方正仿宋_GBK" w:eastAsia="方正仿宋_GBK"/>
                <w:b/>
                <w:bCs/>
                <w:kern w:val="0"/>
                <w:szCs w:val="21"/>
              </w:rPr>
              <w:t>案例1</w:t>
            </w:r>
          </w:p>
        </w:tc>
        <w:tc>
          <w:tcPr>
            <w:tcW w:w="1832" w:type="dxa"/>
            <w:vAlign w:val="center"/>
          </w:tcPr>
          <w:p>
            <w:pPr>
              <w:spacing w:line="400" w:lineRule="exact"/>
              <w:jc w:val="center"/>
              <w:rPr>
                <w:rFonts w:ascii="方正仿宋_GBK" w:eastAsia="方正仿宋_GBK"/>
                <w:kern w:val="0"/>
                <w:szCs w:val="21"/>
              </w:rPr>
            </w:pPr>
          </w:p>
        </w:tc>
        <w:tc>
          <w:tcPr>
            <w:tcW w:w="2410" w:type="dxa"/>
            <w:vAlign w:val="center"/>
          </w:tcPr>
          <w:p>
            <w:pPr>
              <w:spacing w:line="400" w:lineRule="exact"/>
              <w:jc w:val="center"/>
              <w:rPr>
                <w:rFonts w:ascii="方正仿宋_GBK" w:eastAsia="方正仿宋_GBK"/>
                <w:kern w:val="0"/>
                <w:szCs w:val="21"/>
              </w:rPr>
            </w:pPr>
          </w:p>
        </w:tc>
        <w:tc>
          <w:tcPr>
            <w:tcW w:w="1985" w:type="dxa"/>
            <w:vAlign w:val="center"/>
          </w:tcPr>
          <w:p>
            <w:pPr>
              <w:spacing w:line="400" w:lineRule="exact"/>
              <w:jc w:val="center"/>
              <w:rPr>
                <w:rFonts w:ascii="方正仿宋_GBK" w:eastAsia="方正仿宋_GBK"/>
                <w:kern w:val="0"/>
                <w:szCs w:val="21"/>
              </w:rPr>
            </w:pPr>
          </w:p>
        </w:tc>
        <w:tc>
          <w:tcPr>
            <w:tcW w:w="1003" w:type="dxa"/>
            <w:vAlign w:val="center"/>
          </w:tcPr>
          <w:p>
            <w:pPr>
              <w:spacing w:line="400" w:lineRule="exact"/>
              <w:jc w:val="center"/>
              <w:rPr>
                <w:rFonts w:ascii="方正仿宋_GBK"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30" w:type="dxa"/>
            <w:vAlign w:val="center"/>
          </w:tcPr>
          <w:p>
            <w:pPr>
              <w:spacing w:line="400" w:lineRule="exact"/>
              <w:jc w:val="center"/>
              <w:rPr>
                <w:rFonts w:ascii="方正仿宋_GBK" w:eastAsia="方正仿宋_GBK"/>
                <w:b/>
                <w:bCs/>
                <w:kern w:val="0"/>
                <w:szCs w:val="21"/>
              </w:rPr>
            </w:pPr>
            <w:r>
              <w:rPr>
                <w:rFonts w:hint="eastAsia" w:ascii="方正仿宋_GBK" w:eastAsia="方正仿宋_GBK"/>
                <w:b/>
                <w:bCs/>
                <w:kern w:val="0"/>
                <w:szCs w:val="21"/>
              </w:rPr>
              <w:t>案例2</w:t>
            </w:r>
          </w:p>
        </w:tc>
        <w:tc>
          <w:tcPr>
            <w:tcW w:w="1832" w:type="dxa"/>
            <w:vAlign w:val="center"/>
          </w:tcPr>
          <w:p>
            <w:pPr>
              <w:spacing w:line="400" w:lineRule="exact"/>
              <w:jc w:val="center"/>
              <w:rPr>
                <w:rFonts w:ascii="方正仿宋_GBK" w:eastAsia="方正仿宋_GBK"/>
                <w:kern w:val="0"/>
                <w:szCs w:val="21"/>
              </w:rPr>
            </w:pPr>
          </w:p>
        </w:tc>
        <w:tc>
          <w:tcPr>
            <w:tcW w:w="2410" w:type="dxa"/>
            <w:vAlign w:val="center"/>
          </w:tcPr>
          <w:p>
            <w:pPr>
              <w:spacing w:line="400" w:lineRule="exact"/>
              <w:jc w:val="center"/>
              <w:rPr>
                <w:rFonts w:ascii="方正仿宋_GBK" w:eastAsia="方正仿宋_GBK"/>
                <w:kern w:val="0"/>
                <w:szCs w:val="21"/>
              </w:rPr>
            </w:pPr>
          </w:p>
        </w:tc>
        <w:tc>
          <w:tcPr>
            <w:tcW w:w="1985" w:type="dxa"/>
            <w:vAlign w:val="center"/>
          </w:tcPr>
          <w:p>
            <w:pPr>
              <w:spacing w:line="400" w:lineRule="exact"/>
              <w:jc w:val="center"/>
              <w:rPr>
                <w:rFonts w:ascii="方正仿宋_GBK" w:eastAsia="方正仿宋_GBK"/>
                <w:kern w:val="0"/>
                <w:szCs w:val="21"/>
              </w:rPr>
            </w:pPr>
          </w:p>
        </w:tc>
        <w:tc>
          <w:tcPr>
            <w:tcW w:w="1003" w:type="dxa"/>
            <w:vAlign w:val="center"/>
          </w:tcPr>
          <w:p>
            <w:pPr>
              <w:spacing w:line="400" w:lineRule="exact"/>
              <w:jc w:val="center"/>
              <w:rPr>
                <w:rFonts w:ascii="方正仿宋_GBK"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30" w:type="dxa"/>
            <w:vAlign w:val="center"/>
          </w:tcPr>
          <w:p>
            <w:pPr>
              <w:spacing w:line="400" w:lineRule="exact"/>
              <w:jc w:val="center"/>
              <w:rPr>
                <w:rFonts w:ascii="方正仿宋_GBK" w:eastAsia="方正仿宋_GBK"/>
                <w:b/>
                <w:bCs/>
                <w:kern w:val="0"/>
                <w:szCs w:val="21"/>
              </w:rPr>
            </w:pPr>
            <w:r>
              <w:rPr>
                <w:rFonts w:hint="eastAsia" w:ascii="方正仿宋_GBK" w:eastAsia="方正仿宋_GBK"/>
                <w:b/>
                <w:bCs/>
                <w:kern w:val="0"/>
                <w:szCs w:val="21"/>
              </w:rPr>
              <w:t>案例3</w:t>
            </w:r>
          </w:p>
        </w:tc>
        <w:tc>
          <w:tcPr>
            <w:tcW w:w="1832" w:type="dxa"/>
            <w:vAlign w:val="center"/>
          </w:tcPr>
          <w:p>
            <w:pPr>
              <w:spacing w:line="400" w:lineRule="exact"/>
              <w:jc w:val="center"/>
              <w:rPr>
                <w:rFonts w:ascii="方正仿宋_GBK" w:eastAsia="方正仿宋_GBK"/>
                <w:kern w:val="0"/>
                <w:szCs w:val="21"/>
              </w:rPr>
            </w:pPr>
          </w:p>
        </w:tc>
        <w:tc>
          <w:tcPr>
            <w:tcW w:w="2410" w:type="dxa"/>
            <w:vAlign w:val="center"/>
          </w:tcPr>
          <w:p>
            <w:pPr>
              <w:spacing w:line="400" w:lineRule="exact"/>
              <w:jc w:val="center"/>
              <w:rPr>
                <w:rFonts w:ascii="方正仿宋_GBK" w:eastAsia="方正仿宋_GBK"/>
                <w:kern w:val="0"/>
                <w:szCs w:val="21"/>
              </w:rPr>
            </w:pPr>
          </w:p>
        </w:tc>
        <w:tc>
          <w:tcPr>
            <w:tcW w:w="1985" w:type="dxa"/>
            <w:vAlign w:val="center"/>
          </w:tcPr>
          <w:p>
            <w:pPr>
              <w:spacing w:line="400" w:lineRule="exact"/>
              <w:jc w:val="center"/>
              <w:rPr>
                <w:rFonts w:ascii="方正仿宋_GBK" w:eastAsia="方正仿宋_GBK"/>
                <w:kern w:val="0"/>
                <w:szCs w:val="21"/>
              </w:rPr>
            </w:pPr>
          </w:p>
        </w:tc>
        <w:tc>
          <w:tcPr>
            <w:tcW w:w="1003" w:type="dxa"/>
            <w:vAlign w:val="center"/>
          </w:tcPr>
          <w:p>
            <w:pPr>
              <w:spacing w:line="400" w:lineRule="exact"/>
              <w:jc w:val="center"/>
              <w:rPr>
                <w:rFonts w:ascii="方正仿宋_GBK"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30" w:type="dxa"/>
            <w:vAlign w:val="center"/>
          </w:tcPr>
          <w:p>
            <w:pPr>
              <w:spacing w:line="400" w:lineRule="exact"/>
              <w:jc w:val="center"/>
              <w:rPr>
                <w:rFonts w:ascii="方正仿宋_GBK" w:eastAsia="方正仿宋_GBK"/>
                <w:b/>
                <w:bCs/>
                <w:kern w:val="0"/>
                <w:szCs w:val="21"/>
              </w:rPr>
            </w:pPr>
            <w:r>
              <w:rPr>
                <w:rFonts w:hint="eastAsia" w:ascii="方正仿宋_GBK" w:eastAsia="方正仿宋_GBK"/>
                <w:b/>
                <w:bCs/>
                <w:kern w:val="0"/>
                <w:szCs w:val="21"/>
              </w:rPr>
              <w:t>案例4</w:t>
            </w:r>
          </w:p>
        </w:tc>
        <w:tc>
          <w:tcPr>
            <w:tcW w:w="1832" w:type="dxa"/>
            <w:vAlign w:val="center"/>
          </w:tcPr>
          <w:p>
            <w:pPr>
              <w:spacing w:line="400" w:lineRule="exact"/>
              <w:jc w:val="center"/>
              <w:rPr>
                <w:rFonts w:ascii="方正仿宋_GBK" w:eastAsia="方正仿宋_GBK"/>
                <w:kern w:val="0"/>
                <w:szCs w:val="21"/>
              </w:rPr>
            </w:pPr>
          </w:p>
        </w:tc>
        <w:tc>
          <w:tcPr>
            <w:tcW w:w="2410" w:type="dxa"/>
            <w:vAlign w:val="center"/>
          </w:tcPr>
          <w:p>
            <w:pPr>
              <w:spacing w:line="400" w:lineRule="exact"/>
              <w:jc w:val="center"/>
              <w:rPr>
                <w:rFonts w:ascii="方正仿宋_GBK" w:eastAsia="方正仿宋_GBK"/>
                <w:kern w:val="0"/>
                <w:szCs w:val="21"/>
              </w:rPr>
            </w:pPr>
          </w:p>
        </w:tc>
        <w:tc>
          <w:tcPr>
            <w:tcW w:w="1985" w:type="dxa"/>
            <w:vAlign w:val="center"/>
          </w:tcPr>
          <w:p>
            <w:pPr>
              <w:spacing w:line="400" w:lineRule="exact"/>
              <w:jc w:val="center"/>
              <w:rPr>
                <w:rFonts w:ascii="方正仿宋_GBK" w:eastAsia="方正仿宋_GBK"/>
                <w:kern w:val="0"/>
                <w:szCs w:val="21"/>
              </w:rPr>
            </w:pPr>
          </w:p>
        </w:tc>
        <w:tc>
          <w:tcPr>
            <w:tcW w:w="1003" w:type="dxa"/>
            <w:vAlign w:val="center"/>
          </w:tcPr>
          <w:p>
            <w:pPr>
              <w:spacing w:line="400" w:lineRule="exact"/>
              <w:jc w:val="center"/>
              <w:rPr>
                <w:rFonts w:ascii="方正仿宋_GBK"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30" w:type="dxa"/>
            <w:vAlign w:val="center"/>
          </w:tcPr>
          <w:p>
            <w:pPr>
              <w:spacing w:line="400" w:lineRule="exact"/>
              <w:jc w:val="center"/>
              <w:rPr>
                <w:rFonts w:ascii="方正仿宋_GBK" w:eastAsia="方正仿宋_GBK"/>
                <w:b/>
                <w:bCs/>
                <w:kern w:val="0"/>
                <w:szCs w:val="21"/>
              </w:rPr>
            </w:pPr>
            <w:r>
              <w:rPr>
                <w:rFonts w:hint="eastAsia" w:ascii="方正仿宋_GBK" w:eastAsia="方正仿宋_GBK"/>
                <w:b/>
                <w:bCs/>
                <w:kern w:val="0"/>
                <w:szCs w:val="21"/>
              </w:rPr>
              <w:t>案例5</w:t>
            </w:r>
          </w:p>
        </w:tc>
        <w:tc>
          <w:tcPr>
            <w:tcW w:w="1832" w:type="dxa"/>
            <w:vAlign w:val="center"/>
          </w:tcPr>
          <w:p>
            <w:pPr>
              <w:spacing w:line="400" w:lineRule="exact"/>
              <w:jc w:val="center"/>
              <w:rPr>
                <w:rFonts w:ascii="方正仿宋_GBK" w:eastAsia="方正仿宋_GBK"/>
                <w:kern w:val="0"/>
                <w:szCs w:val="21"/>
              </w:rPr>
            </w:pPr>
          </w:p>
        </w:tc>
        <w:tc>
          <w:tcPr>
            <w:tcW w:w="2410" w:type="dxa"/>
            <w:vAlign w:val="center"/>
          </w:tcPr>
          <w:p>
            <w:pPr>
              <w:spacing w:line="400" w:lineRule="exact"/>
              <w:jc w:val="center"/>
              <w:rPr>
                <w:rFonts w:ascii="方正仿宋_GBK" w:eastAsia="方正仿宋_GBK"/>
                <w:kern w:val="0"/>
                <w:szCs w:val="21"/>
              </w:rPr>
            </w:pPr>
          </w:p>
        </w:tc>
        <w:tc>
          <w:tcPr>
            <w:tcW w:w="1985" w:type="dxa"/>
            <w:vAlign w:val="center"/>
          </w:tcPr>
          <w:p>
            <w:pPr>
              <w:spacing w:line="400" w:lineRule="exact"/>
              <w:jc w:val="center"/>
              <w:rPr>
                <w:rFonts w:ascii="方正仿宋_GBK" w:eastAsia="方正仿宋_GBK"/>
                <w:kern w:val="0"/>
                <w:szCs w:val="21"/>
              </w:rPr>
            </w:pPr>
          </w:p>
        </w:tc>
        <w:tc>
          <w:tcPr>
            <w:tcW w:w="1003" w:type="dxa"/>
            <w:vAlign w:val="center"/>
          </w:tcPr>
          <w:p>
            <w:pPr>
              <w:spacing w:line="400" w:lineRule="exact"/>
              <w:jc w:val="center"/>
              <w:rPr>
                <w:rFonts w:ascii="方正仿宋_GBK"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30" w:type="dxa"/>
            <w:vAlign w:val="center"/>
          </w:tcPr>
          <w:p>
            <w:pPr>
              <w:spacing w:line="400" w:lineRule="exact"/>
              <w:jc w:val="center"/>
              <w:rPr>
                <w:rFonts w:ascii="方正仿宋_GBK" w:eastAsia="方正仿宋_GBK"/>
                <w:b/>
                <w:bCs/>
                <w:kern w:val="0"/>
                <w:szCs w:val="21"/>
              </w:rPr>
            </w:pPr>
            <w:r>
              <w:rPr>
                <w:rFonts w:hint="eastAsia" w:ascii="方正仿宋_GBK" w:eastAsia="方正仿宋_GBK"/>
                <w:b/>
                <w:bCs/>
                <w:kern w:val="0"/>
                <w:szCs w:val="21"/>
              </w:rPr>
              <w:t>····</w:t>
            </w:r>
          </w:p>
        </w:tc>
        <w:tc>
          <w:tcPr>
            <w:tcW w:w="1832" w:type="dxa"/>
            <w:vAlign w:val="center"/>
          </w:tcPr>
          <w:p>
            <w:pPr>
              <w:spacing w:line="400" w:lineRule="exact"/>
              <w:jc w:val="center"/>
              <w:rPr>
                <w:rFonts w:ascii="方正仿宋_GBK" w:eastAsia="方正仿宋_GBK"/>
                <w:kern w:val="0"/>
                <w:szCs w:val="21"/>
              </w:rPr>
            </w:pPr>
          </w:p>
        </w:tc>
        <w:tc>
          <w:tcPr>
            <w:tcW w:w="2410" w:type="dxa"/>
            <w:vAlign w:val="center"/>
          </w:tcPr>
          <w:p>
            <w:pPr>
              <w:spacing w:line="400" w:lineRule="exact"/>
              <w:jc w:val="center"/>
              <w:rPr>
                <w:rFonts w:ascii="方正仿宋_GBK" w:eastAsia="方正仿宋_GBK"/>
                <w:kern w:val="0"/>
                <w:szCs w:val="21"/>
              </w:rPr>
            </w:pPr>
          </w:p>
        </w:tc>
        <w:tc>
          <w:tcPr>
            <w:tcW w:w="1985" w:type="dxa"/>
            <w:vAlign w:val="center"/>
          </w:tcPr>
          <w:p>
            <w:pPr>
              <w:spacing w:line="400" w:lineRule="exact"/>
              <w:jc w:val="center"/>
              <w:rPr>
                <w:rFonts w:ascii="方正仿宋_GBK" w:eastAsia="方正仿宋_GBK"/>
                <w:kern w:val="0"/>
                <w:szCs w:val="21"/>
              </w:rPr>
            </w:pPr>
          </w:p>
        </w:tc>
        <w:tc>
          <w:tcPr>
            <w:tcW w:w="1003" w:type="dxa"/>
            <w:vAlign w:val="center"/>
          </w:tcPr>
          <w:p>
            <w:pPr>
              <w:spacing w:line="400" w:lineRule="exact"/>
              <w:jc w:val="center"/>
              <w:rPr>
                <w:rFonts w:ascii="方正仿宋_GBK" w:eastAsia="方正仿宋_GBK"/>
                <w:kern w:val="0"/>
                <w:szCs w:val="21"/>
              </w:rPr>
            </w:pPr>
          </w:p>
        </w:tc>
      </w:tr>
    </w:tbl>
    <w:p>
      <w:pPr>
        <w:spacing w:line="360" w:lineRule="auto"/>
        <w:rPr>
          <w:rFonts w:ascii="方正仿宋_GBK" w:eastAsia="方正仿宋_GBK"/>
          <w:szCs w:val="21"/>
        </w:rPr>
      </w:pPr>
      <w:r>
        <w:rPr>
          <w:rFonts w:hint="eastAsia" w:ascii="方正仿宋_GBK" w:eastAsia="方正仿宋_GBK"/>
          <w:szCs w:val="21"/>
        </w:rPr>
        <w:t>说明：1、每个案例均须提供证明材料。案例证明材料的提供按采购文件相关要求执行。</w:t>
      </w:r>
    </w:p>
    <w:p>
      <w:pPr>
        <w:spacing w:line="360" w:lineRule="auto"/>
        <w:ind w:firstLine="630" w:firstLineChars="300"/>
        <w:rPr>
          <w:rFonts w:ascii="方正仿宋_GBK" w:eastAsia="方正仿宋_GBK"/>
          <w:szCs w:val="21"/>
        </w:rPr>
      </w:pPr>
      <w:r>
        <w:rPr>
          <w:rFonts w:hint="eastAsia" w:ascii="方正仿宋_GBK" w:eastAsia="方正仿宋_GBK"/>
          <w:szCs w:val="21"/>
        </w:rPr>
        <w:t>2、请供应商根据实际情况如实填写上述内容，可在此表基础上扩展并自行添加其他相关内容。</w:t>
      </w:r>
    </w:p>
    <w:p>
      <w:pPr>
        <w:spacing w:line="360" w:lineRule="auto"/>
        <w:ind w:firstLine="420" w:firstLineChars="200"/>
        <w:rPr>
          <w:rFonts w:ascii="方正仿宋_GBK" w:hAnsi="方正仿宋_GBK" w:eastAsia="方正仿宋_GBK" w:cs="方正仿宋_GBK"/>
          <w:bCs/>
          <w:sz w:val="24"/>
        </w:rPr>
      </w:pPr>
      <w:r>
        <w:rPr>
          <w:rFonts w:hint="eastAsia" w:ascii="方正仿宋_GBK" w:eastAsia="方正仿宋_GBK"/>
          <w:szCs w:val="21"/>
        </w:rPr>
        <w:t>我公司承诺以上内容</w:t>
      </w:r>
      <w:r>
        <w:rPr>
          <w:rFonts w:hint="eastAsia" w:ascii="方正仿宋_GBK" w:eastAsia="方正仿宋_GBK"/>
          <w:kern w:val="0"/>
          <w:szCs w:val="21"/>
          <w:u w:val="single"/>
        </w:rPr>
        <w:t>信息都是真实、可靠的。在评审及后续工作中若发现表中信息的真实性、可靠性存在弄虚作假等行为，采购人有权取消我司成交资格并没收我司响应保证金（或履约保证金），我司愿赔偿相应损失并承担一切法律责任。</w:t>
      </w:r>
      <w:r>
        <w:rPr>
          <w:rFonts w:hint="eastAsia" w:ascii="方正仿宋_GBK" w:eastAsia="方正仿宋_GBK"/>
          <w:b/>
        </w:rPr>
        <w:t xml:space="preserve">                                          </w:t>
      </w:r>
    </w:p>
    <w:p>
      <w:pPr>
        <w:pStyle w:val="6"/>
        <w:spacing w:line="360" w:lineRule="auto"/>
        <w:ind w:firstLine="480" w:firstLineChars="200"/>
        <w:jc w:val="right"/>
        <w:rPr>
          <w:rFonts w:ascii="方正仿宋_GBK" w:hAnsi="方正仿宋_GBK" w:eastAsia="方正仿宋_GBK" w:cs="方正仿宋_GBK"/>
          <w:bCs/>
          <w:sz w:val="24"/>
        </w:rPr>
      </w:pPr>
    </w:p>
    <w:p>
      <w:pPr>
        <w:pStyle w:val="6"/>
        <w:spacing w:line="360" w:lineRule="auto"/>
        <w:ind w:firstLine="480" w:firstLineChars="200"/>
        <w:jc w:val="right"/>
        <w:rPr>
          <w:rFonts w:ascii="方正仿宋_GBK" w:hAnsi="方正仿宋_GBK" w:eastAsia="方正仿宋_GBK" w:cs="方正仿宋_GBK"/>
          <w:bCs/>
          <w:sz w:val="24"/>
        </w:rPr>
      </w:pPr>
      <w:r>
        <w:rPr>
          <w:rFonts w:hint="eastAsia" w:ascii="方正仿宋_GBK" w:hAnsi="方正仿宋_GBK" w:eastAsia="方正仿宋_GBK" w:cs="方正仿宋_GBK"/>
          <w:bCs/>
          <w:sz w:val="24"/>
        </w:rPr>
        <w:t>供应商名称(公章)：____________________</w:t>
      </w:r>
    </w:p>
    <w:p>
      <w:pPr>
        <w:pStyle w:val="6"/>
        <w:spacing w:line="360" w:lineRule="auto"/>
        <w:ind w:firstLine="480" w:firstLineChars="200"/>
        <w:jc w:val="right"/>
        <w:rPr>
          <w:rFonts w:ascii="方正仿宋_GBK" w:hAnsi="方正仿宋_GBK" w:eastAsia="方正仿宋_GBK" w:cs="方正仿宋_GBK"/>
          <w:bCs/>
          <w:sz w:val="24"/>
        </w:rPr>
      </w:pPr>
      <w:r>
        <w:rPr>
          <w:rFonts w:hint="eastAsia" w:ascii="方正仿宋_GBK" w:hAnsi="方正仿宋_GBK" w:eastAsia="方正仿宋_GBK" w:cs="方正仿宋_GBK"/>
          <w:bCs/>
          <w:sz w:val="24"/>
        </w:rPr>
        <w:t>法定代表人或授权代表(签字或盖章)：____________________</w:t>
      </w:r>
    </w:p>
    <w:p>
      <w:pPr>
        <w:pStyle w:val="6"/>
        <w:spacing w:line="360" w:lineRule="auto"/>
        <w:ind w:firstLine="480" w:firstLineChars="200"/>
        <w:jc w:val="right"/>
        <w:rPr>
          <w:rFonts w:ascii="方正仿宋_GBK" w:eastAsia="方正仿宋_GBK"/>
        </w:rPr>
      </w:pPr>
      <w:r>
        <w:rPr>
          <w:rFonts w:hint="eastAsia" w:ascii="方正仿宋_GBK" w:hAnsi="方正仿宋_GBK" w:eastAsia="方正仿宋_GBK" w:cs="方正仿宋_GBK"/>
          <w:bCs/>
          <w:sz w:val="24"/>
        </w:rPr>
        <w:t>____年____月____日</w:t>
      </w:r>
    </w:p>
    <w:p>
      <w:pPr>
        <w:rPr>
          <w:rFonts w:ascii="仿宋_GB2312" w:hAnsi="宋体" w:eastAsia="仿宋_GB2312"/>
          <w:sz w:val="28"/>
          <w:szCs w:val="28"/>
        </w:rPr>
      </w:pPr>
    </w:p>
    <w:p>
      <w:pPr>
        <w:rPr>
          <w:rFonts w:ascii="仿宋_GB2312" w:hAnsi="宋体" w:eastAsia="仿宋_GB2312"/>
          <w:sz w:val="28"/>
          <w:szCs w:val="28"/>
        </w:rPr>
      </w:pPr>
    </w:p>
    <w:p/>
    <w:p/>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MingLiU">
    <w:altName w:val="PMingLiU-ExtB"/>
    <w:panose1 w:val="02020509000000000000"/>
    <w:charset w:val="88"/>
    <w:family w:val="modern"/>
    <w:pitch w:val="default"/>
    <w:sig w:usb0="00000000" w:usb1="00000000" w:usb2="00000016" w:usb3="00000000" w:csb0="00100001"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方正大标宋简体">
    <w:altName w:val="微软雅黑"/>
    <w:panose1 w:val="02000000000000000000"/>
    <w:charset w:val="86"/>
    <w:family w:val="script"/>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w:t>
    </w:r>
    <w:r>
      <w:rPr>
        <w:lang w:val="zh-CN"/>
      </w:rPr>
      <w:fldChar w:fldCharType="end"/>
    </w:r>
  </w:p>
  <w:p>
    <w:pPr>
      <w:pStyle w:val="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separate"/>
    </w:r>
    <w:r>
      <w:rPr>
        <w:rStyle w:val="13"/>
      </w:rPr>
      <w:t>16</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Cs w:val="24"/>
      </w:rPr>
    </w:pPr>
    <w:r>
      <w:rPr>
        <w:rFonts w:hint="eastAsia"/>
        <w:sz w:val="21"/>
        <w:szCs w:val="21"/>
      </w:rPr>
      <w:t>重庆银行股份有限公司招标文件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00000016"/>
    <w:lvl w:ilvl="0" w:tentative="0">
      <w:start w:val="1"/>
      <w:numFmt w:val="decimal"/>
      <w:lvlText w:val="%1、"/>
      <w:lvlJc w:val="left"/>
      <w:pPr>
        <w:tabs>
          <w:tab w:val="left" w:pos="1018"/>
        </w:tabs>
        <w:ind w:left="538" w:firstLine="0"/>
      </w:pPr>
      <w:rPr>
        <w:rFonts w:hint="eastAsia"/>
        <w:b w:val="0"/>
        <w:i w:val="0"/>
        <w:caps w:val="0"/>
        <w:strike w:val="0"/>
        <w:dstrike w:val="0"/>
        <w:vanish w:val="0"/>
        <w:color w:val="auto"/>
        <w:spacing w:val="0"/>
        <w:w w:val="100"/>
        <w:kern w:val="44"/>
        <w:position w:val="0"/>
        <w:sz w:val="28"/>
        <w:szCs w:val="28"/>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1C4589C"/>
    <w:multiLevelType w:val="multilevel"/>
    <w:tmpl w:val="61C4589C"/>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rPr>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2A08421"/>
    <w:multiLevelType w:val="singleLevel"/>
    <w:tmpl w:val="62A08421"/>
    <w:lvl w:ilvl="0" w:tentative="0">
      <w:start w:val="4"/>
      <w:numFmt w:val="chineseCounting"/>
      <w:suff w:val="nothing"/>
      <w:lvlText w:val="（%1）"/>
      <w:lvlJc w:val="left"/>
    </w:lvl>
  </w:abstractNum>
  <w:abstractNum w:abstractNumId="3">
    <w:nsid w:val="62D0C72A"/>
    <w:multiLevelType w:val="singleLevel"/>
    <w:tmpl w:val="62D0C72A"/>
    <w:lvl w:ilvl="0" w:tentative="0">
      <w:start w:val="3"/>
      <w:numFmt w:val="chineseCounting"/>
      <w:suff w:val="nothing"/>
      <w:lvlText w:val="（%1）"/>
      <w:lvlJc w:val="left"/>
    </w:lvl>
  </w:abstractNum>
  <w:abstractNum w:abstractNumId="4">
    <w:nsid w:val="62D0CA43"/>
    <w:multiLevelType w:val="singleLevel"/>
    <w:tmpl w:val="62D0CA43"/>
    <w:lvl w:ilvl="0" w:tentative="0">
      <w:start w:val="3"/>
      <w:numFmt w:val="decimal"/>
      <w:suff w:val="space"/>
      <w:lvlText w:val="%1."/>
      <w:lvlJc w:val="left"/>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47"/>
    <w:rsid w:val="000E4609"/>
    <w:rsid w:val="001C273E"/>
    <w:rsid w:val="00244AAE"/>
    <w:rsid w:val="00261028"/>
    <w:rsid w:val="002930C5"/>
    <w:rsid w:val="00344DD1"/>
    <w:rsid w:val="00364941"/>
    <w:rsid w:val="0036711C"/>
    <w:rsid w:val="00374CF2"/>
    <w:rsid w:val="00460BCB"/>
    <w:rsid w:val="00480227"/>
    <w:rsid w:val="004D6B7F"/>
    <w:rsid w:val="00534999"/>
    <w:rsid w:val="00555F47"/>
    <w:rsid w:val="005B451C"/>
    <w:rsid w:val="00707042"/>
    <w:rsid w:val="007B5F12"/>
    <w:rsid w:val="00843CF7"/>
    <w:rsid w:val="00870334"/>
    <w:rsid w:val="009509F2"/>
    <w:rsid w:val="00985838"/>
    <w:rsid w:val="00991F4F"/>
    <w:rsid w:val="009D60D9"/>
    <w:rsid w:val="00A364CF"/>
    <w:rsid w:val="00A55E79"/>
    <w:rsid w:val="00A66C24"/>
    <w:rsid w:val="00AA0425"/>
    <w:rsid w:val="00AD75D7"/>
    <w:rsid w:val="00C03957"/>
    <w:rsid w:val="00C06EEE"/>
    <w:rsid w:val="03EF1B12"/>
    <w:rsid w:val="04CD7149"/>
    <w:rsid w:val="061329A1"/>
    <w:rsid w:val="06B23514"/>
    <w:rsid w:val="076B5DB0"/>
    <w:rsid w:val="0A0F538B"/>
    <w:rsid w:val="0B8E4878"/>
    <w:rsid w:val="0BD2175F"/>
    <w:rsid w:val="0D504E34"/>
    <w:rsid w:val="136A611D"/>
    <w:rsid w:val="14D4269A"/>
    <w:rsid w:val="16B75E0F"/>
    <w:rsid w:val="16C723C7"/>
    <w:rsid w:val="194C2676"/>
    <w:rsid w:val="1E8D66BC"/>
    <w:rsid w:val="1F5364B5"/>
    <w:rsid w:val="1F856C87"/>
    <w:rsid w:val="202A55C8"/>
    <w:rsid w:val="23F12ADE"/>
    <w:rsid w:val="262E1B49"/>
    <w:rsid w:val="2AEC4DE6"/>
    <w:rsid w:val="2CDB35CB"/>
    <w:rsid w:val="3130789F"/>
    <w:rsid w:val="32FB3B1C"/>
    <w:rsid w:val="34784E7B"/>
    <w:rsid w:val="395E0577"/>
    <w:rsid w:val="39870A57"/>
    <w:rsid w:val="426C1FD1"/>
    <w:rsid w:val="427147E5"/>
    <w:rsid w:val="43280BA3"/>
    <w:rsid w:val="44F178BA"/>
    <w:rsid w:val="48E309DE"/>
    <w:rsid w:val="497F7009"/>
    <w:rsid w:val="516C3737"/>
    <w:rsid w:val="51FF2518"/>
    <w:rsid w:val="54D21FCF"/>
    <w:rsid w:val="58FD1175"/>
    <w:rsid w:val="5AF104BD"/>
    <w:rsid w:val="60003F25"/>
    <w:rsid w:val="69EE719B"/>
    <w:rsid w:val="6B123966"/>
    <w:rsid w:val="6E3A43CA"/>
    <w:rsid w:val="6F337B3A"/>
    <w:rsid w:val="6FB272A1"/>
    <w:rsid w:val="709E39CF"/>
    <w:rsid w:val="72166C9F"/>
    <w:rsid w:val="733A15F0"/>
    <w:rsid w:val="7A917C3F"/>
    <w:rsid w:val="7D65107A"/>
    <w:rsid w:val="7D780DBA"/>
    <w:rsid w:val="7ECB46A7"/>
    <w:rsid w:val="7ED47A7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2">
    <w:name w:val="Default Paragraph Font"/>
    <w:unhideWhenUsed/>
    <w:qFormat/>
    <w:uiPriority w:val="1"/>
  </w:style>
  <w:style w:type="table" w:default="1" w:styleId="15">
    <w:name w:val="Normal Table"/>
    <w:unhideWhenUsed/>
    <w:uiPriority w:val="99"/>
    <w:tblPr>
      <w:tblLayout w:type="fixed"/>
      <w:tblCellMar>
        <w:top w:w="0" w:type="dxa"/>
        <w:left w:w="108" w:type="dxa"/>
        <w:bottom w:w="0" w:type="dxa"/>
        <w:right w:w="108" w:type="dxa"/>
      </w:tblCellMar>
    </w:tblPr>
  </w:style>
  <w:style w:type="paragraph" w:styleId="2">
    <w:name w:val="Body Text"/>
    <w:basedOn w:val="1"/>
    <w:uiPriority w:val="0"/>
    <w:rPr>
      <w:rFonts w:ascii="宋体" w:hAnsi="宋体"/>
      <w:sz w:val="28"/>
    </w:rPr>
  </w:style>
  <w:style w:type="paragraph" w:styleId="5">
    <w:name w:val="Body Text Indent"/>
    <w:basedOn w:val="1"/>
    <w:qFormat/>
    <w:uiPriority w:val="0"/>
    <w:pPr>
      <w:ind w:firstLine="568" w:firstLineChars="203"/>
    </w:pPr>
    <w:rPr>
      <w:rFonts w:ascii="宋体" w:hAnsi="宋体"/>
      <w:sz w:val="28"/>
      <w:szCs w:val="28"/>
    </w:rPr>
  </w:style>
  <w:style w:type="paragraph" w:styleId="6">
    <w:name w:val="Plain Text"/>
    <w:basedOn w:val="1"/>
    <w:qFormat/>
    <w:uiPriority w:val="0"/>
    <w:rPr>
      <w:rFonts w:ascii="宋体" w:hAnsi="Courier New"/>
    </w:rPr>
  </w:style>
  <w:style w:type="paragraph" w:styleId="7">
    <w:name w:val="Body Text Indent 2"/>
    <w:basedOn w:val="1"/>
    <w:qFormat/>
    <w:uiPriority w:val="0"/>
    <w:pPr>
      <w:spacing w:line="560" w:lineRule="exact"/>
      <w:ind w:firstLine="636" w:firstLineChars="212"/>
    </w:pPr>
    <w:rPr>
      <w:rFonts w:ascii="仿宋_GB2312" w:eastAsia="仿宋_GB2312"/>
      <w:sz w:val="30"/>
      <w:szCs w:val="30"/>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296"/>
      </w:tabs>
      <w:jc w:val="center"/>
    </w:pPr>
    <w:rPr>
      <w:rFonts w:ascii="仿宋_GB2312" w:hAnsi="Times New Roman" w:eastAsia="仿宋_GB2312"/>
      <w:sz w:val="28"/>
      <w:szCs w:val="28"/>
    </w:rPr>
  </w:style>
  <w:style w:type="paragraph" w:styleId="11">
    <w:name w:val="Body Text Indent 3"/>
    <w:basedOn w:val="1"/>
    <w:qFormat/>
    <w:uiPriority w:val="0"/>
    <w:pPr>
      <w:spacing w:after="120"/>
      <w:ind w:left="420" w:leftChars="200"/>
    </w:pPr>
    <w:rPr>
      <w:sz w:val="16"/>
      <w:szCs w:val="16"/>
    </w:rPr>
  </w:style>
  <w:style w:type="character" w:styleId="13">
    <w:name w:val="page number"/>
    <w:basedOn w:val="12"/>
    <w:qFormat/>
    <w:uiPriority w:val="0"/>
  </w:style>
  <w:style w:type="character" w:styleId="14">
    <w:name w:val="Hyperlink"/>
    <w:qFormat/>
    <w:uiPriority w:val="0"/>
    <w:rPr>
      <w:color w:val="0000FF"/>
      <w:u w:val="single"/>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
    <w:name w:val="无间隔1"/>
    <w:qFormat/>
    <w:uiPriority w:val="99"/>
    <w:pPr>
      <w:widowControl w:val="0"/>
      <w:jc w:val="both"/>
    </w:pPr>
    <w:rPr>
      <w:rFonts w:ascii="Times New Roman" w:hAnsi="Times New Roman" w:eastAsia="宋体" w:cs="Calibri"/>
      <w:kern w:val="2"/>
      <w:sz w:val="21"/>
      <w:szCs w:val="21"/>
      <w:lang w:val="en-US" w:eastAsia="zh-CN" w:bidi="ar-SA"/>
    </w:rPr>
  </w:style>
  <w:style w:type="paragraph" w:customStyle="1" w:styleId="18">
    <w:name w:val="Char Char Char Char"/>
    <w:basedOn w:val="1"/>
    <w:qFormat/>
    <w:uiPriority w:val="0"/>
    <w:pPr>
      <w:jc w:val="center"/>
    </w:pPr>
    <w:rPr>
      <w:rFonts w:ascii="仿宋_GB2312" w:hAnsi="Times New Roman" w:eastAsia="仿宋_GB2312"/>
      <w:b/>
      <w:sz w:val="32"/>
      <w:szCs w:val="32"/>
    </w:rPr>
  </w:style>
  <w:style w:type="paragraph" w:customStyle="1" w:styleId="19">
    <w:name w:val="列出段落1"/>
    <w:basedOn w:val="1"/>
    <w:qFormat/>
    <w:uiPriority w:val="34"/>
    <w:pPr>
      <w:ind w:firstLine="420" w:firstLineChars="200"/>
    </w:pPr>
  </w:style>
  <w:style w:type="paragraph" w:customStyle="1" w:styleId="20">
    <w:name w:val="楷体粗正文文字"/>
    <w:basedOn w:val="1"/>
    <w:next w:val="11"/>
    <w:qFormat/>
    <w:uiPriority w:val="0"/>
    <w:pPr>
      <w:snapToGrid w:val="0"/>
      <w:spacing w:line="480" w:lineRule="exact"/>
      <w:ind w:firstLine="560"/>
    </w:pPr>
    <w:rPr>
      <w:sz w:val="28"/>
      <w:szCs w:val="20"/>
    </w:rPr>
  </w:style>
  <w:style w:type="character" w:customStyle="1" w:styleId="21">
    <w:name w:val="font41"/>
    <w:qFormat/>
    <w:uiPriority w:val="0"/>
    <w:rPr>
      <w:rFonts w:hint="default" w:ascii="Calibri" w:hAnsi="Calibri" w:cs="Calibri"/>
      <w:color w:val="000000"/>
      <w:sz w:val="16"/>
      <w:szCs w:val="16"/>
      <w:u w:val="none"/>
    </w:rPr>
  </w:style>
  <w:style w:type="character" w:customStyle="1" w:styleId="22">
    <w:name w:val="font111"/>
    <w:qFormat/>
    <w:uiPriority w:val="0"/>
    <w:rPr>
      <w:rFonts w:hint="eastAsia" w:ascii="宋体" w:hAnsi="宋体" w:eastAsia="宋体" w:cs="宋体"/>
      <w:color w:val="000000"/>
      <w:sz w:val="16"/>
      <w:szCs w:val="16"/>
      <w:u w:val="none"/>
    </w:rPr>
  </w:style>
  <w:style w:type="character" w:customStyle="1" w:styleId="23">
    <w:name w:val="font171"/>
    <w:basedOn w:val="12"/>
    <w:qFormat/>
    <w:uiPriority w:val="0"/>
    <w:rPr>
      <w:rFonts w:hint="default" w:ascii="Calibri" w:hAnsi="Calibri" w:cs="Calibri"/>
      <w:color w:val="000000"/>
      <w:sz w:val="16"/>
      <w:szCs w:val="16"/>
      <w:u w:val="none"/>
    </w:rPr>
  </w:style>
  <w:style w:type="character" w:customStyle="1" w:styleId="24">
    <w:name w:val="font181"/>
    <w:basedOn w:val="12"/>
    <w:qFormat/>
    <w:uiPriority w:val="0"/>
    <w:rPr>
      <w:rFonts w:hint="eastAsia" w:ascii="宋体" w:hAnsi="宋体" w:eastAsia="宋体" w:cs="宋体"/>
      <w:color w:val="000000"/>
      <w:sz w:val="16"/>
      <w:szCs w:val="16"/>
      <w:u w:val="none"/>
    </w:rPr>
  </w:style>
  <w:style w:type="character" w:customStyle="1" w:styleId="25">
    <w:name w:val="font71"/>
    <w:basedOn w:val="12"/>
    <w:qFormat/>
    <w:uiPriority w:val="0"/>
    <w:rPr>
      <w:rFonts w:hint="eastAsia" w:ascii="微软雅黑" w:hAnsi="微软雅黑" w:eastAsia="微软雅黑" w:cs="微软雅黑"/>
      <w:b/>
      <w:color w:val="000000"/>
      <w:sz w:val="16"/>
      <w:szCs w:val="16"/>
      <w:u w:val="none"/>
    </w:rPr>
  </w:style>
  <w:style w:type="character" w:customStyle="1" w:styleId="26">
    <w:name w:val="font01"/>
    <w:basedOn w:val="12"/>
    <w:qFormat/>
    <w:uiPriority w:val="0"/>
    <w:rPr>
      <w:rFonts w:hint="eastAsia" w:ascii="宋体" w:hAnsi="宋体" w:eastAsia="宋体" w:cs="宋体"/>
      <w:b/>
      <w:color w:val="000000"/>
      <w:sz w:val="16"/>
      <w:szCs w:val="16"/>
      <w:u w:val="none"/>
    </w:rPr>
  </w:style>
  <w:style w:type="character" w:customStyle="1" w:styleId="27">
    <w:name w:val="font11"/>
    <w:basedOn w:val="12"/>
    <w:qFormat/>
    <w:uiPriority w:val="0"/>
    <w:rPr>
      <w:rFonts w:hint="default" w:ascii="Calibri" w:hAnsi="Calibri" w:cs="Calibri"/>
      <w:b/>
      <w:color w:val="000000"/>
      <w:sz w:val="16"/>
      <w:szCs w:val="16"/>
      <w:u w:val="none"/>
    </w:rPr>
  </w:style>
  <w:style w:type="character" w:customStyle="1" w:styleId="28">
    <w:name w:val="font161"/>
    <w:basedOn w:val="12"/>
    <w:qFormat/>
    <w:uiPriority w:val="0"/>
    <w:rPr>
      <w:rFonts w:hint="default" w:ascii="Calibri" w:hAnsi="Calibri" w:cs="Calibri"/>
      <w:color w:val="000000"/>
      <w:sz w:val="16"/>
      <w:szCs w:val="16"/>
      <w:u w:val="none"/>
    </w:rPr>
  </w:style>
  <w:style w:type="character" w:customStyle="1" w:styleId="29">
    <w:name w:val="font51"/>
    <w:basedOn w:val="12"/>
    <w:qFormat/>
    <w:uiPriority w:val="0"/>
    <w:rPr>
      <w:rFonts w:hint="eastAsia" w:ascii="宋体" w:hAnsi="宋体" w:eastAsia="宋体" w:cs="宋体"/>
      <w:color w:val="000000"/>
      <w:sz w:val="16"/>
      <w:szCs w:val="16"/>
      <w:u w:val="none"/>
    </w:rPr>
  </w:style>
  <w:style w:type="character" w:customStyle="1" w:styleId="30">
    <w:name w:val="font61"/>
    <w:basedOn w:val="12"/>
    <w:qFormat/>
    <w:uiPriority w:val="0"/>
    <w:rPr>
      <w:rFonts w:hint="eastAsia" w:ascii="微软雅黑" w:hAnsi="微软雅黑" w:eastAsia="微软雅黑" w:cs="微软雅黑"/>
      <w:b/>
      <w:color w:val="000000"/>
      <w:sz w:val="16"/>
      <w:szCs w:val="16"/>
      <w:u w:val="none"/>
    </w:rPr>
  </w:style>
  <w:style w:type="character" w:customStyle="1" w:styleId="31">
    <w:name w:val="font91"/>
    <w:basedOn w:val="12"/>
    <w:qFormat/>
    <w:uiPriority w:val="0"/>
    <w:rPr>
      <w:rFonts w:hint="eastAsia" w:ascii="宋体" w:hAnsi="宋体" w:eastAsia="宋体" w:cs="宋体"/>
      <w:b/>
      <w:color w:val="000000"/>
      <w:sz w:val="16"/>
      <w:szCs w:val="16"/>
      <w:u w:val="none"/>
    </w:rPr>
  </w:style>
  <w:style w:type="character" w:customStyle="1" w:styleId="32">
    <w:name w:val="font141"/>
    <w:basedOn w:val="12"/>
    <w:qFormat/>
    <w:uiPriority w:val="0"/>
    <w:rPr>
      <w:rFonts w:hint="default" w:ascii="Calibri" w:hAnsi="Calibri" w:cs="Calibri"/>
      <w:b/>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3ADC29-BCAB-40A4-ADBC-5297163B731F}">
  <ds:schemaRefs/>
</ds:datastoreItem>
</file>

<file path=docProps/app.xml><?xml version="1.0" encoding="utf-8"?>
<Properties xmlns="http://schemas.openxmlformats.org/officeDocument/2006/extended-properties" xmlns:vt="http://schemas.openxmlformats.org/officeDocument/2006/docPropsVTypes">
  <Template>Normal</Template>
  <Pages>48</Pages>
  <Words>4200</Words>
  <Characters>23942</Characters>
  <Lines>199</Lines>
  <Paragraphs>56</Paragraphs>
  <ScaleCrop>false</ScaleCrop>
  <LinksUpToDate>false</LinksUpToDate>
  <CharactersWithSpaces>28086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CQCB</dc:creator>
  <cp:lastModifiedBy>陈郸帆</cp:lastModifiedBy>
  <cp:lastPrinted>2022-08-11T06:38:00Z</cp:lastPrinted>
  <dcterms:modified xsi:type="dcterms:W3CDTF">2022-08-11T08:34:57Z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