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32"/>
          <w:lang w:eastAsia="zh-CN"/>
        </w:rPr>
      </w:pPr>
      <w:r>
        <w:rPr>
          <w:rFonts w:hint="eastAsia" w:ascii="仿宋" w:hAnsi="仿宋" w:eastAsia="仿宋" w:cs="仿宋"/>
          <w:b/>
          <w:bCs/>
          <w:sz w:val="32"/>
        </w:rPr>
        <w:t>项目名称：</w:t>
      </w:r>
      <w:r>
        <w:rPr>
          <w:rFonts w:hint="eastAsia" w:ascii="仿宋" w:hAnsi="仿宋" w:eastAsia="仿宋" w:cs="仿宋"/>
          <w:b/>
          <w:bCs/>
          <w:sz w:val="32"/>
          <w:lang w:eastAsia="zh-CN"/>
        </w:rPr>
        <w:t>重庆银行工程项目供应商备选库（西安分行A库）</w:t>
      </w:r>
    </w:p>
    <w:p>
      <w:pPr>
        <w:jc w:val="both"/>
        <w:rPr>
          <w:rFonts w:hint="eastAsia" w:ascii="仿宋" w:hAnsi="仿宋" w:eastAsia="仿宋" w:cs="仿宋"/>
          <w:b/>
          <w:bCs/>
          <w:sz w:val="32"/>
          <w:lang w:val="en-US" w:eastAsia="zh-CN"/>
        </w:rPr>
      </w:pPr>
      <w:r>
        <w:rPr>
          <w:rFonts w:hint="eastAsia" w:ascii="仿宋" w:hAnsi="仿宋" w:eastAsia="仿宋" w:cs="仿宋"/>
          <w:b/>
          <w:bCs/>
          <w:sz w:val="32"/>
          <w:lang w:val="en-US" w:eastAsia="zh-CN"/>
        </w:rPr>
        <w:t>项目编号：</w:t>
      </w:r>
    </w:p>
    <w:p>
      <w:pPr>
        <w:rPr>
          <w:rFonts w:hint="eastAsia" w:ascii="仿宋" w:hAnsi="仿宋" w:eastAsia="仿宋" w:cs="仿宋"/>
          <w:b/>
          <w:bCs/>
          <w:sz w:val="32"/>
        </w:rPr>
      </w:pPr>
    </w:p>
    <w:p>
      <w:pPr>
        <w:ind w:firstLine="1606" w:firstLineChars="500"/>
        <w:rPr>
          <w:rFonts w:hint="eastAsia" w:ascii="仿宋" w:hAnsi="仿宋" w:eastAsia="仿宋" w:cs="仿宋"/>
          <w:b/>
          <w:bCs/>
          <w:sz w:val="32"/>
        </w:rPr>
      </w:pPr>
    </w:p>
    <w:p>
      <w:pPr>
        <w:rPr>
          <w:rFonts w:hint="eastAsia" w:ascii="仿宋" w:hAnsi="仿宋" w:eastAsia="仿宋" w:cs="仿宋"/>
          <w:b/>
          <w:bCs/>
          <w:sz w:val="32"/>
        </w:rPr>
      </w:pPr>
    </w:p>
    <w:p>
      <w:pPr>
        <w:rPr>
          <w:rFonts w:hint="eastAsia" w:ascii="仿宋" w:hAnsi="仿宋" w:eastAsia="仿宋" w:cs="仿宋"/>
          <w:b/>
          <w:bCs/>
          <w:sz w:val="32"/>
        </w:rPr>
      </w:pPr>
    </w:p>
    <w:p>
      <w:pPr>
        <w:widowControl/>
        <w:jc w:val="center"/>
        <w:rPr>
          <w:rFonts w:hint="eastAsia" w:ascii="仿宋" w:hAnsi="仿宋" w:eastAsia="仿宋" w:cs="仿宋"/>
          <w:b/>
          <w:bCs/>
          <w:sz w:val="72"/>
          <w:szCs w:val="72"/>
        </w:rPr>
      </w:pPr>
    </w:p>
    <w:p>
      <w:pPr>
        <w:widowControl/>
        <w:jc w:val="center"/>
        <w:rPr>
          <w:rFonts w:hint="eastAsia" w:ascii="仿宋" w:hAnsi="仿宋" w:eastAsia="仿宋" w:cs="仿宋"/>
          <w:b/>
          <w:bCs/>
          <w:spacing w:val="100"/>
          <w:kern w:val="0"/>
          <w:sz w:val="72"/>
          <w:szCs w:val="80"/>
        </w:rPr>
      </w:pPr>
      <w:r>
        <w:rPr>
          <w:rFonts w:hint="eastAsia" w:ascii="仿宋" w:hAnsi="仿宋" w:eastAsia="仿宋" w:cs="仿宋"/>
          <w:b/>
          <w:bCs/>
          <w:sz w:val="72"/>
          <w:szCs w:val="80"/>
        </w:rPr>
        <w:t>入库比选文件</w:t>
      </w: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both"/>
        <w:rPr>
          <w:rFonts w:hint="eastAsia" w:ascii="仿宋" w:hAnsi="仿宋" w:eastAsia="仿宋" w:cs="仿宋"/>
          <w:b/>
          <w:bCs/>
          <w:szCs w:val="21"/>
        </w:rPr>
      </w:pPr>
    </w:p>
    <w:p>
      <w:pPr>
        <w:rPr>
          <w:rFonts w:hint="eastAsia" w:ascii="仿宋" w:hAnsi="仿宋" w:eastAsia="仿宋" w:cs="仿宋"/>
          <w:b/>
          <w:bCs/>
          <w:sz w:val="28"/>
          <w:szCs w:val="28"/>
        </w:rPr>
      </w:pPr>
      <w:r>
        <w:rPr>
          <w:rFonts w:hint="eastAsia" w:ascii="仿宋" w:hAnsi="仿宋" w:eastAsia="仿宋" w:cs="仿宋"/>
          <w:b/>
          <w:bCs/>
          <w:sz w:val="28"/>
          <w:szCs w:val="28"/>
        </w:rPr>
        <w:t>     </w:t>
      </w: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     </w:t>
      </w:r>
    </w:p>
    <w:p>
      <w:pPr>
        <w:ind w:firstLine="643" w:firstLineChars="200"/>
        <w:rPr>
          <w:rFonts w:hint="eastAsia" w:ascii="仿宋" w:hAnsi="仿宋" w:eastAsia="仿宋" w:cs="仿宋"/>
          <w:b/>
          <w:bCs/>
          <w:sz w:val="32"/>
        </w:rPr>
      </w:pPr>
      <w:r>
        <w:rPr>
          <w:rFonts w:hint="eastAsia" w:ascii="仿宋" w:hAnsi="仿宋" w:eastAsia="仿宋" w:cs="仿宋"/>
          <w:b/>
          <w:bCs/>
          <w:sz w:val="32"/>
          <w:lang w:eastAsia="zh-CN"/>
        </w:rPr>
        <w:t>比选人</w:t>
      </w:r>
      <w:r>
        <w:rPr>
          <w:rFonts w:hint="eastAsia" w:ascii="仿宋" w:hAnsi="仿宋" w:eastAsia="仿宋" w:cs="仿宋"/>
          <w:b/>
          <w:bCs/>
          <w:sz w:val="32"/>
        </w:rPr>
        <w:t>：重庆银行股份有限公司(盖章)</w:t>
      </w:r>
    </w:p>
    <w:p>
      <w:pPr>
        <w:ind w:firstLine="643" w:firstLineChars="200"/>
        <w:rPr>
          <w:rFonts w:hint="eastAsia" w:ascii="仿宋" w:hAnsi="仿宋" w:eastAsia="仿宋" w:cs="仿宋"/>
          <w:b/>
          <w:bCs/>
          <w:sz w:val="32"/>
        </w:rPr>
      </w:pPr>
      <w:r>
        <w:rPr>
          <w:rFonts w:hint="eastAsia" w:ascii="仿宋" w:hAnsi="仿宋" w:eastAsia="仿宋" w:cs="仿宋"/>
          <w:b/>
          <w:bCs/>
          <w:sz w:val="32"/>
          <w:lang w:eastAsia="zh-CN"/>
        </w:rPr>
        <w:t>比选代理机构：重庆国际投资咨询集团有限公司</w:t>
      </w:r>
      <w:r>
        <w:rPr>
          <w:rFonts w:hint="eastAsia" w:ascii="仿宋" w:hAnsi="仿宋" w:eastAsia="仿宋" w:cs="仿宋"/>
          <w:b/>
          <w:bCs/>
          <w:sz w:val="32"/>
        </w:rPr>
        <w:t>(盖章)</w:t>
      </w:r>
    </w:p>
    <w:p>
      <w:pPr>
        <w:ind w:firstLine="422" w:firstLineChars="200"/>
        <w:rPr>
          <w:rFonts w:hint="eastAsia" w:ascii="仿宋" w:hAnsi="仿宋" w:eastAsia="仿宋" w:cs="仿宋"/>
          <w:b/>
          <w:bCs/>
          <w:szCs w:val="21"/>
        </w:rPr>
      </w:pPr>
    </w:p>
    <w:p>
      <w:pPr>
        <w:jc w:val="center"/>
        <w:rPr>
          <w:rFonts w:hint="eastAsia" w:ascii="仿宋" w:hAnsi="仿宋" w:eastAsia="仿宋" w:cs="仿宋"/>
          <w:b/>
          <w:bCs/>
          <w:szCs w:val="21"/>
        </w:rPr>
      </w:pPr>
    </w:p>
    <w:p>
      <w:pPr>
        <w:pStyle w:val="13"/>
        <w:rPr>
          <w:rFonts w:hint="eastAsia" w:ascii="仿宋" w:hAnsi="仿宋" w:eastAsia="仿宋" w:cs="仿宋"/>
          <w:b/>
          <w:bCs/>
          <w:szCs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仿宋" w:hAnsi="仿宋" w:eastAsia="仿宋" w:cs="仿宋"/>
          <w:b/>
          <w:bCs/>
          <w:szCs w:val="24"/>
        </w:rPr>
        <w:t>二〇二</w:t>
      </w:r>
      <w:r>
        <w:rPr>
          <w:rFonts w:hint="eastAsia" w:ascii="仿宋" w:hAnsi="仿宋" w:eastAsia="仿宋" w:cs="仿宋"/>
          <w:b/>
          <w:bCs/>
          <w:szCs w:val="24"/>
          <w:lang w:eastAsia="zh-CN"/>
        </w:rPr>
        <w:t>三</w:t>
      </w:r>
      <w:r>
        <w:rPr>
          <w:rFonts w:hint="eastAsia" w:ascii="仿宋" w:hAnsi="仿宋" w:eastAsia="仿宋" w:cs="仿宋"/>
          <w:b/>
          <w:bCs/>
          <w:szCs w:val="24"/>
        </w:rPr>
        <w:t>年</w:t>
      </w:r>
      <w:r>
        <w:rPr>
          <w:rFonts w:hint="eastAsia" w:ascii="仿宋" w:hAnsi="仿宋" w:eastAsia="仿宋" w:cs="仿宋"/>
          <w:b/>
          <w:bCs/>
          <w:szCs w:val="24"/>
          <w:lang w:eastAsia="zh-CN"/>
        </w:rPr>
        <w:t>三</w:t>
      </w:r>
      <w:r>
        <w:rPr>
          <w:rFonts w:hint="eastAsia" w:ascii="仿宋" w:hAnsi="仿宋" w:eastAsia="仿宋" w:cs="仿宋"/>
          <w:b/>
          <w:bCs/>
          <w:szCs w:val="24"/>
        </w:rPr>
        <w:t>月</w:t>
      </w:r>
    </w:p>
    <w:p>
      <w:pPr>
        <w:pStyle w:val="8"/>
        <w:rPr>
          <w:rFonts w:hint="eastAsia"/>
          <w:b/>
          <w:bCs/>
          <w:sz w:val="32"/>
        </w:rPr>
      </w:pPr>
      <w:r>
        <w:rPr>
          <w:rFonts w:hint="eastAsia"/>
          <w:b/>
          <w:bCs/>
          <w:sz w:val="32"/>
        </w:rPr>
        <w:t>目    录</w:t>
      </w:r>
    </w:p>
    <w:p>
      <w:pPr>
        <w:pStyle w:val="8"/>
        <w:rPr>
          <w:rFonts w:hint="eastAsia"/>
        </w:rPr>
      </w:pPr>
    </w:p>
    <w:p>
      <w:pPr>
        <w:pStyle w:val="8"/>
        <w:rPr>
          <w:rFonts w:ascii="Calibri" w:hAnsi="Calibri" w:eastAsia="宋体"/>
          <w:sz w:val="21"/>
          <w:szCs w:val="22"/>
          <w:lang w:val="en-US" w:eastAsia="zh-CN"/>
        </w:rPr>
      </w:pPr>
      <w:r>
        <w:rPr>
          <w:rFonts w:hint="eastAsia"/>
          <w:b/>
          <w:bCs/>
        </w:rPr>
        <w:fldChar w:fldCharType="begin"/>
      </w:r>
      <w:r>
        <w:rPr>
          <w:rFonts w:hint="eastAsia"/>
          <w:b/>
          <w:bCs/>
        </w:rPr>
        <w:instrText xml:space="preserve"> TOC \o "1-2" \h \z \u </w:instrText>
      </w:r>
      <w:r>
        <w:rPr>
          <w:rFonts w:hint="eastAsia"/>
          <w:b/>
          <w:bCs/>
        </w:rPr>
        <w:fldChar w:fldCharType="separate"/>
      </w:r>
      <w:r>
        <w:fldChar w:fldCharType="begin"/>
      </w:r>
      <w:r>
        <w:rPr>
          <w:rStyle w:val="12"/>
        </w:rPr>
        <w:instrText xml:space="preserve"> </w:instrText>
      </w:r>
      <w:r>
        <w:instrText xml:space="preserve">HYPERLINK \l "_Toc55374219"</w:instrText>
      </w:r>
      <w:r>
        <w:rPr>
          <w:rStyle w:val="12"/>
        </w:rPr>
        <w:instrText xml:space="preserve"> </w:instrText>
      </w:r>
      <w:r>
        <w:fldChar w:fldCharType="separate"/>
      </w:r>
      <w:r>
        <w:rPr>
          <w:rStyle w:val="12"/>
          <w:rFonts w:hint="eastAsia"/>
        </w:rPr>
        <w:t>第一部分</w:t>
      </w:r>
      <w:r>
        <w:rPr>
          <w:rStyle w:val="12"/>
        </w:rPr>
        <w:t xml:space="preserve">   </w:t>
      </w:r>
      <w:r>
        <w:rPr>
          <w:rStyle w:val="12"/>
          <w:rFonts w:hint="eastAsia"/>
        </w:rPr>
        <w:t>入库比选须知</w:t>
      </w:r>
      <w:r>
        <w:tab/>
      </w:r>
      <w:r>
        <w:fldChar w:fldCharType="begin"/>
      </w:r>
      <w:r>
        <w:instrText xml:space="preserve"> PAGEREF _Toc55374219 \h </w:instrText>
      </w:r>
      <w:r>
        <w:fldChar w:fldCharType="separate"/>
      </w:r>
      <w:r>
        <w:t>2</w:t>
      </w:r>
      <w:r>
        <w:fldChar w:fldCharType="end"/>
      </w:r>
      <w:r>
        <w:fldChar w:fldCharType="end"/>
      </w:r>
    </w:p>
    <w:p>
      <w:pPr>
        <w:pStyle w:val="8"/>
        <w:rPr>
          <w:rFonts w:ascii="Calibri" w:hAnsi="Calibri" w:eastAsia="宋体"/>
          <w:sz w:val="21"/>
          <w:szCs w:val="22"/>
          <w:lang w:val="en-US" w:eastAsia="zh-CN"/>
        </w:rPr>
      </w:pPr>
      <w:r>
        <w:fldChar w:fldCharType="begin"/>
      </w:r>
      <w:r>
        <w:rPr>
          <w:rStyle w:val="12"/>
        </w:rPr>
        <w:instrText xml:space="preserve"> </w:instrText>
      </w:r>
      <w:r>
        <w:instrText xml:space="preserve">HYPERLINK \l "_Toc55374220"</w:instrText>
      </w:r>
      <w:r>
        <w:rPr>
          <w:rStyle w:val="12"/>
        </w:rPr>
        <w:instrText xml:space="preserve"> </w:instrText>
      </w:r>
      <w:r>
        <w:fldChar w:fldCharType="separate"/>
      </w:r>
      <w:r>
        <w:rPr>
          <w:rStyle w:val="12"/>
          <w:rFonts w:hint="eastAsia"/>
        </w:rPr>
        <w:t>第二部分</w:t>
      </w:r>
      <w:r>
        <w:rPr>
          <w:rStyle w:val="12"/>
        </w:rPr>
        <w:t>  </w:t>
      </w:r>
      <w:r>
        <w:rPr>
          <w:rStyle w:val="12"/>
          <w:rFonts w:hint="eastAsia"/>
        </w:rPr>
        <w:t>合作意向书条款</w:t>
      </w:r>
      <w:r>
        <w:tab/>
      </w:r>
      <w:r>
        <w:fldChar w:fldCharType="begin"/>
      </w:r>
      <w:r>
        <w:instrText xml:space="preserve"> PAGEREF _Toc55374220 \h </w:instrText>
      </w:r>
      <w:r>
        <w:fldChar w:fldCharType="separate"/>
      </w:r>
      <w:r>
        <w:t>10</w:t>
      </w:r>
      <w:r>
        <w:fldChar w:fldCharType="end"/>
      </w:r>
      <w:r>
        <w:fldChar w:fldCharType="end"/>
      </w:r>
    </w:p>
    <w:p>
      <w:pPr>
        <w:pStyle w:val="8"/>
        <w:rPr>
          <w:rFonts w:ascii="Calibri" w:hAnsi="Calibri" w:eastAsia="宋体"/>
          <w:sz w:val="21"/>
          <w:szCs w:val="22"/>
          <w:lang w:val="en-US" w:eastAsia="zh-CN"/>
        </w:rPr>
      </w:pPr>
      <w:r>
        <w:fldChar w:fldCharType="begin"/>
      </w:r>
      <w:r>
        <w:rPr>
          <w:rStyle w:val="12"/>
        </w:rPr>
        <w:instrText xml:space="preserve"> </w:instrText>
      </w:r>
      <w:r>
        <w:instrText xml:space="preserve">HYPERLINK \l "_Toc55374221"</w:instrText>
      </w:r>
      <w:r>
        <w:rPr>
          <w:rStyle w:val="12"/>
        </w:rPr>
        <w:instrText xml:space="preserve"> </w:instrText>
      </w:r>
      <w:r>
        <w:fldChar w:fldCharType="separate"/>
      </w:r>
      <w:r>
        <w:rPr>
          <w:rStyle w:val="12"/>
          <w:rFonts w:hint="eastAsia"/>
        </w:rPr>
        <w:t>第三部分</w:t>
      </w:r>
      <w:r>
        <w:rPr>
          <w:rStyle w:val="12"/>
        </w:rPr>
        <w:t>  </w:t>
      </w:r>
      <w:r>
        <w:rPr>
          <w:rStyle w:val="12"/>
          <w:rFonts w:hint="eastAsia"/>
        </w:rPr>
        <w:t>入库</w:t>
      </w:r>
      <w:r>
        <w:rPr>
          <w:rStyle w:val="12"/>
          <w:rFonts w:hint="eastAsia"/>
          <w:lang w:eastAsia="zh-CN"/>
        </w:rPr>
        <w:t>竞选文件</w:t>
      </w:r>
      <w:r>
        <w:rPr>
          <w:rStyle w:val="12"/>
          <w:rFonts w:hint="eastAsia"/>
        </w:rPr>
        <w:t>格式</w:t>
      </w:r>
      <w:r>
        <w:tab/>
      </w:r>
      <w:r>
        <w:fldChar w:fldCharType="begin"/>
      </w:r>
      <w:r>
        <w:instrText xml:space="preserve"> PAGEREF _Toc55374221 \h </w:instrText>
      </w:r>
      <w:r>
        <w:fldChar w:fldCharType="separate"/>
      </w:r>
      <w:r>
        <w:t>18</w:t>
      </w:r>
      <w:r>
        <w:fldChar w:fldCharType="end"/>
      </w:r>
      <w:r>
        <w:fldChar w:fldCharType="end"/>
      </w:r>
    </w:p>
    <w:p>
      <w:pPr>
        <w:pStyle w:val="3"/>
        <w:jc w:val="center"/>
        <w:rPr>
          <w:sz w:val="36"/>
          <w:szCs w:val="36"/>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zCs w:val="28"/>
        </w:rPr>
        <w:fldChar w:fldCharType="end"/>
      </w:r>
    </w:p>
    <w:p>
      <w:pPr>
        <w:pStyle w:val="3"/>
        <w:jc w:val="center"/>
        <w:rPr>
          <w:rFonts w:hint="eastAsia"/>
          <w:sz w:val="36"/>
          <w:szCs w:val="36"/>
        </w:rPr>
      </w:pPr>
      <w:bookmarkStart w:id="0" w:name="_Toc55374219"/>
      <w:bookmarkStart w:id="1" w:name="_Toc453097400"/>
      <w:bookmarkStart w:id="2" w:name="_Toc6264"/>
      <w:r>
        <w:rPr>
          <w:rFonts w:hint="eastAsia"/>
          <w:sz w:val="36"/>
          <w:szCs w:val="36"/>
        </w:rPr>
        <w:t>第一部分</w:t>
      </w:r>
      <w:r>
        <w:rPr>
          <w:sz w:val="36"/>
          <w:szCs w:val="36"/>
        </w:rPr>
        <w:t xml:space="preserve">   </w:t>
      </w:r>
      <w:r>
        <w:rPr>
          <w:rFonts w:hint="eastAsia"/>
          <w:sz w:val="36"/>
          <w:szCs w:val="36"/>
        </w:rPr>
        <w:t>入库比选须知</w:t>
      </w:r>
      <w:bookmarkEnd w:id="0"/>
      <w:bookmarkEnd w:id="1"/>
      <w:bookmarkEnd w:id="2"/>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项目名称</w:t>
      </w:r>
    </w:p>
    <w:p>
      <w:pPr>
        <w:adjustRightInd w:val="0"/>
        <w:snapToGrid w:val="0"/>
        <w:spacing w:line="600" w:lineRule="exact"/>
        <w:ind w:firstLine="537" w:firstLineChars="192"/>
        <w:rPr>
          <w:rFonts w:hint="eastAsia" w:ascii="方正仿宋_GBK" w:hAnsi="宋体" w:eastAsia="方正仿宋_GBK"/>
          <w:sz w:val="28"/>
          <w:szCs w:val="28"/>
          <w:u w:val="single"/>
        </w:rPr>
      </w:pPr>
      <w:r>
        <w:rPr>
          <w:rFonts w:hint="eastAsia" w:ascii="方正仿宋_GBK" w:hAnsi="宋体" w:eastAsia="方正仿宋_GBK" w:cs="MingLiU"/>
          <w:snapToGrid w:val="0"/>
          <w:color w:val="000000"/>
          <w:kern w:val="0"/>
          <w:position w:val="-2"/>
          <w:sz w:val="28"/>
          <w:szCs w:val="28"/>
        </w:rPr>
        <w:t>本次入库比选为</w:t>
      </w:r>
      <w:r>
        <w:rPr>
          <w:rFonts w:hint="eastAsia" w:ascii="方正仿宋_GBK" w:eastAsia="方正仿宋_GBK"/>
          <w:sz w:val="28"/>
          <w:szCs w:val="28"/>
          <w:u w:val="single"/>
          <w:lang w:eastAsia="zh-CN"/>
        </w:rPr>
        <w:t>重庆银行工程项目供应商备选库（西安分行A库）</w:t>
      </w:r>
      <w:r>
        <w:rPr>
          <w:rFonts w:hint="eastAsia" w:ascii="方正仿宋_GBK" w:hAnsi="宋体" w:eastAsia="方正仿宋_GBK"/>
          <w:sz w:val="28"/>
          <w:szCs w:val="28"/>
          <w:u w:val="single"/>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服务内容</w:t>
      </w:r>
    </w:p>
    <w:p>
      <w:pPr>
        <w:adjustRightInd w:val="0"/>
        <w:snapToGrid w:val="0"/>
        <w:spacing w:line="600" w:lineRule="exact"/>
        <w:ind w:firstLine="560" w:firstLineChars="20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rPr>
        <w:t>本次</w:t>
      </w:r>
      <w:r>
        <w:rPr>
          <w:rFonts w:hint="eastAsia" w:ascii="方正仿宋_GBK" w:hAnsi="宋体" w:eastAsia="方正仿宋_GBK" w:cs="MingLiU"/>
          <w:snapToGrid w:val="0"/>
          <w:color w:val="000000"/>
          <w:kern w:val="0"/>
          <w:position w:val="-2"/>
          <w:sz w:val="28"/>
          <w:szCs w:val="28"/>
          <w:lang w:eastAsia="zh-CN"/>
        </w:rPr>
        <w:t>比选</w:t>
      </w:r>
      <w:r>
        <w:rPr>
          <w:rFonts w:hint="eastAsia" w:ascii="方正仿宋_GBK" w:hAnsi="宋体" w:eastAsia="方正仿宋_GBK" w:cs="MingLiU"/>
          <w:snapToGrid w:val="0"/>
          <w:color w:val="000000"/>
          <w:kern w:val="0"/>
          <w:position w:val="-2"/>
          <w:sz w:val="28"/>
          <w:szCs w:val="28"/>
        </w:rPr>
        <w:t>拟就</w:t>
      </w:r>
      <w:r>
        <w:rPr>
          <w:rFonts w:hint="eastAsia" w:ascii="方正仿宋_GBK" w:hAnsi="宋体" w:eastAsia="方正仿宋_GBK" w:cs="MingLiU"/>
          <w:snapToGrid w:val="0"/>
          <w:color w:val="000000"/>
          <w:kern w:val="0"/>
          <w:position w:val="-2"/>
          <w:sz w:val="28"/>
          <w:szCs w:val="28"/>
          <w:lang w:eastAsia="zh-CN"/>
        </w:rPr>
        <w:t>重庆银行工程项目供应商备选库（西安分行A库）</w:t>
      </w:r>
      <w:r>
        <w:rPr>
          <w:rFonts w:hint="eastAsia" w:ascii="方正仿宋_GBK" w:hAnsi="宋体" w:eastAsia="方正仿宋_GBK" w:cs="MingLiU"/>
          <w:snapToGrid w:val="0"/>
          <w:color w:val="000000"/>
          <w:kern w:val="0"/>
          <w:position w:val="-2"/>
          <w:sz w:val="28"/>
          <w:szCs w:val="28"/>
        </w:rPr>
        <w:t>进行公开征集。本库适用范围为</w:t>
      </w:r>
      <w:r>
        <w:rPr>
          <w:rFonts w:hint="eastAsia" w:ascii="CESI仿宋-GB13000" w:hAnsi="CESI仿宋-GB13000" w:eastAsia="CESI仿宋-GB13000" w:cs="CESI仿宋-GB13000"/>
          <w:sz w:val="28"/>
          <w:szCs w:val="28"/>
          <w:lang w:val="en-US" w:eastAsia="zh-CN"/>
        </w:rPr>
        <w:t>陕西省内</w:t>
      </w:r>
      <w:r>
        <w:rPr>
          <w:rFonts w:hint="eastAsia" w:ascii="CESI仿宋-GB13000" w:hAnsi="CESI仿宋-GB13000" w:eastAsia="CESI仿宋-GB13000" w:cs="CESI仿宋-GB13000"/>
          <w:sz w:val="28"/>
          <w:szCs w:val="28"/>
          <w:lang w:eastAsia="zh-CN"/>
        </w:rPr>
        <w:t>的重庆银行网点装修工程</w:t>
      </w:r>
      <w:r>
        <w:rPr>
          <w:rFonts w:hint="eastAsia" w:ascii="CESI仿宋-GB13000" w:hAnsi="CESI仿宋-GB13000" w:eastAsia="CESI仿宋-GB13000" w:cs="CESI仿宋-GB13000"/>
          <w:b w:val="0"/>
          <w:bCs/>
          <w:sz w:val="28"/>
          <w:szCs w:val="28"/>
          <w:lang w:val="en-US" w:eastAsia="zh-CN"/>
        </w:rPr>
        <w:t>，具体以单个项目装修工程所在地点为准</w:t>
      </w:r>
      <w:r>
        <w:rPr>
          <w:rFonts w:hint="eastAsia" w:ascii="方正仿宋_GBK" w:hAnsi="宋体" w:eastAsia="方正仿宋_GBK" w:cs="MingLiU"/>
          <w:snapToGrid w:val="0"/>
          <w:color w:val="000000"/>
          <w:kern w:val="0"/>
          <w:position w:val="-2"/>
          <w:sz w:val="28"/>
          <w:szCs w:val="28"/>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服务时间</w:t>
      </w:r>
    </w:p>
    <w:p>
      <w:pPr>
        <w:adjustRightInd w:val="0"/>
        <w:snapToGrid w:val="0"/>
        <w:spacing w:line="600" w:lineRule="exact"/>
        <w:ind w:firstLine="560" w:firstLineChars="20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eastAsia="zh-CN"/>
        </w:rPr>
        <w:t>本次</w:t>
      </w:r>
      <w:r>
        <w:rPr>
          <w:rFonts w:hint="eastAsia" w:ascii="方正仿宋_GBK" w:hAnsi="宋体" w:eastAsia="方正仿宋_GBK" w:cs="MingLiU"/>
          <w:snapToGrid w:val="0"/>
          <w:color w:val="000000"/>
          <w:kern w:val="0"/>
          <w:position w:val="-2"/>
          <w:sz w:val="28"/>
          <w:szCs w:val="28"/>
          <w:lang w:val="en-US" w:eastAsia="zh-CN"/>
        </w:rPr>
        <w:t>工程项目</w:t>
      </w:r>
      <w:r>
        <w:rPr>
          <w:rFonts w:hint="eastAsia" w:ascii="方正仿宋_GBK" w:hAnsi="宋体" w:eastAsia="方正仿宋_GBK" w:cs="MingLiU"/>
          <w:snapToGrid w:val="0"/>
          <w:color w:val="000000"/>
          <w:kern w:val="0"/>
          <w:position w:val="-2"/>
          <w:sz w:val="28"/>
          <w:szCs w:val="28"/>
          <w:lang w:eastAsia="zh-CN"/>
        </w:rPr>
        <w:t>供应商入围有效期均为3年</w:t>
      </w:r>
      <w:r>
        <w:rPr>
          <w:rFonts w:hint="eastAsia" w:ascii="方正仿宋_GBK" w:hAnsi="宋体" w:eastAsia="方正仿宋_GBK" w:cs="MingLiU"/>
          <w:snapToGrid w:val="0"/>
          <w:color w:val="000000"/>
          <w:kern w:val="0"/>
          <w:position w:val="-2"/>
          <w:sz w:val="28"/>
          <w:szCs w:val="28"/>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服务要求</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rPr>
        <w:t>入库后的具体使用方式、规则，按照</w:t>
      </w:r>
      <w:r>
        <w:rPr>
          <w:rFonts w:hint="eastAsia" w:ascii="方正仿宋_GBK" w:hAnsi="宋体" w:eastAsia="方正仿宋_GBK" w:cs="MingLiU"/>
          <w:snapToGrid w:val="0"/>
          <w:color w:val="000000"/>
          <w:kern w:val="0"/>
          <w:position w:val="-2"/>
          <w:sz w:val="28"/>
          <w:szCs w:val="28"/>
          <w:lang w:eastAsia="zh-CN"/>
        </w:rPr>
        <w:t>比选人</w:t>
      </w:r>
      <w:r>
        <w:rPr>
          <w:rFonts w:hint="eastAsia" w:ascii="方正仿宋_GBK" w:hAnsi="宋体" w:eastAsia="方正仿宋_GBK" w:cs="MingLiU"/>
          <w:snapToGrid w:val="0"/>
          <w:color w:val="000000"/>
          <w:kern w:val="0"/>
          <w:position w:val="-2"/>
          <w:sz w:val="28"/>
          <w:szCs w:val="28"/>
        </w:rPr>
        <w:t>的《合作意向书》执行。</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入库供应商的资格</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lang w:val="en-US" w:eastAsia="zh-CN"/>
        </w:rPr>
      </w:pPr>
      <w:r>
        <w:rPr>
          <w:rFonts w:hint="eastAsia" w:ascii="方正仿宋_GBK" w:hAnsi="宋体" w:eastAsia="方正仿宋_GBK" w:cs="MingLiU"/>
          <w:snapToGrid w:val="0"/>
          <w:color w:val="000000"/>
          <w:kern w:val="0"/>
          <w:position w:val="-2"/>
          <w:sz w:val="28"/>
          <w:szCs w:val="28"/>
          <w:lang w:val="en-US" w:eastAsia="zh-CN"/>
        </w:rPr>
        <w:t xml:space="preserve">1、在中华人民共和国境内注册、具有独立的法人资格，提供营业执照复印件并加盖公章。 </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lang w:val="en-US" w:eastAsia="zh-CN"/>
        </w:rPr>
      </w:pPr>
      <w:r>
        <w:rPr>
          <w:rFonts w:hint="eastAsia" w:ascii="方正仿宋_GBK" w:hAnsi="宋体" w:eastAsia="方正仿宋_GBK" w:cs="MingLiU"/>
          <w:snapToGrid w:val="0"/>
          <w:color w:val="000000"/>
          <w:kern w:val="0"/>
          <w:position w:val="-2"/>
          <w:sz w:val="28"/>
          <w:szCs w:val="28"/>
          <w:lang w:val="en-US" w:eastAsia="zh-CN"/>
        </w:rPr>
        <w:t>2、具备建筑装修装饰工程专业承包二级及以上资质；</w:t>
      </w:r>
      <w:r>
        <w:rPr>
          <w:rFonts w:hint="eastAsia" w:ascii="方正仿宋_GBK" w:hAnsi="宋体" w:eastAsia="方正仿宋_GBK" w:cs="MingLiU"/>
          <w:snapToGrid w:val="0"/>
          <w:color w:val="000000"/>
          <w:kern w:val="0"/>
          <w:position w:val="-2"/>
          <w:sz w:val="28"/>
          <w:szCs w:val="28"/>
        </w:rPr>
        <w:t>具备建筑幕墙工程专业承包二级及以上资质；</w:t>
      </w:r>
      <w:r>
        <w:rPr>
          <w:rFonts w:hint="eastAsia" w:ascii="方正仿宋_GBK" w:hAnsi="宋体" w:eastAsia="方正仿宋_GBK" w:cs="MingLiU"/>
          <w:snapToGrid w:val="0"/>
          <w:color w:val="000000"/>
          <w:kern w:val="0"/>
          <w:position w:val="-2"/>
          <w:sz w:val="28"/>
          <w:szCs w:val="28"/>
          <w:lang w:val="en-US" w:eastAsia="zh-CN"/>
        </w:rPr>
        <w:t xml:space="preserve">具有有效的安全生产许可证。提供以上证件复印件并加盖公章。 </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lang w:val="en-US" w:eastAsia="zh-CN"/>
        </w:rPr>
      </w:pPr>
      <w:r>
        <w:rPr>
          <w:rFonts w:hint="eastAsia" w:ascii="方正仿宋_GBK" w:hAnsi="宋体" w:eastAsia="方正仿宋_GBK" w:cs="MingLiU"/>
          <w:snapToGrid w:val="0"/>
          <w:color w:val="000000"/>
          <w:kern w:val="0"/>
          <w:position w:val="-2"/>
          <w:sz w:val="28"/>
          <w:szCs w:val="28"/>
          <w:lang w:val="en-US" w:eastAsia="zh-CN"/>
        </w:rPr>
        <w:t xml:space="preserve">3、供应商必须配备重庆银行项目服务团队，人员构成至少包括重庆银行项目负责人、技术负责人、施工员、安全员和造价员（造价师），所有团队人员须具有供应商为其缴纳所在地的有效养老保险缴费记录。提供入库征集招标文件发出之日前3个月的服务团队人员花名册及企业所在地养老保险缴费记录并加盖公章。 </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val="en-US" w:eastAsia="zh-CN"/>
        </w:rPr>
        <w:t>4、具备当地公安部门颁发的银行业金融机构营业场所安防建设标准培训证书</w:t>
      </w:r>
      <w:r>
        <w:rPr>
          <w:rFonts w:hint="eastAsia" w:ascii="方正仿宋_GBK" w:hAnsi="宋体" w:eastAsia="方正仿宋_GBK" w:cs="MingLiU"/>
          <w:snapToGrid w:val="0"/>
          <w:color w:val="000000"/>
          <w:kern w:val="0"/>
          <w:position w:val="-2"/>
          <w:sz w:val="28"/>
          <w:szCs w:val="28"/>
        </w:rPr>
        <w:t>。</w:t>
      </w:r>
    </w:p>
    <w:p>
      <w:pPr>
        <w:adjustRightInd w:val="0"/>
        <w:snapToGrid w:val="0"/>
        <w:spacing w:line="600" w:lineRule="exact"/>
        <w:ind w:left="560"/>
        <w:rPr>
          <w:rFonts w:hint="eastAsia" w:ascii="方正仿宋_GBK" w:hAnsi="宋体" w:eastAsia="方正仿宋_GBK"/>
          <w:sz w:val="28"/>
          <w:szCs w:val="28"/>
        </w:rPr>
      </w:pPr>
      <w:r>
        <w:rPr>
          <w:rFonts w:hint="eastAsia" w:ascii="方正仿宋_GBK" w:hAnsi="宋体" w:eastAsia="方正仿宋_GBK"/>
          <w:sz w:val="28"/>
          <w:szCs w:val="28"/>
        </w:rPr>
        <w:t>（二）服务人员资质要求</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lang w:val="en-US" w:eastAsia="zh-CN"/>
        </w:rPr>
      </w:pPr>
      <w:r>
        <w:rPr>
          <w:rFonts w:hint="eastAsia" w:ascii="方正仿宋_GBK" w:hAnsi="宋体" w:eastAsia="方正仿宋_GBK" w:cs="MingLiU"/>
          <w:snapToGrid w:val="0"/>
          <w:color w:val="000000"/>
          <w:kern w:val="0"/>
          <w:position w:val="-2"/>
          <w:sz w:val="28"/>
          <w:szCs w:val="28"/>
          <w:lang w:val="en-US" w:eastAsia="zh-CN"/>
        </w:rPr>
        <w:t xml:space="preserve">1、重庆银行项目负责人必须具有建筑工程专业注册建造师执业资格证（已注册）及建安B证，并具有（2019年-2022年）至少2项合同金额在100万元（含）以上公共建筑装饰装修项目工程施工业绩。提供证书复印件和合同复印件并加盖公章。 </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lang w:val="en-US" w:eastAsia="zh-CN"/>
        </w:rPr>
      </w:pPr>
      <w:r>
        <w:rPr>
          <w:rFonts w:hint="eastAsia" w:ascii="方正仿宋_GBK" w:hAnsi="宋体" w:eastAsia="方正仿宋_GBK" w:cs="MingLiU"/>
          <w:snapToGrid w:val="0"/>
          <w:color w:val="000000"/>
          <w:kern w:val="0"/>
          <w:position w:val="-2"/>
          <w:sz w:val="28"/>
          <w:szCs w:val="28"/>
          <w:lang w:val="en-US" w:eastAsia="zh-CN"/>
        </w:rPr>
        <w:t>2、重庆银行项目技术负责人必须具有工程师中级（含）以上职称。提供证书复印件并加盖公章。</w:t>
      </w:r>
    </w:p>
    <w:p>
      <w:pPr>
        <w:adjustRightInd w:val="0"/>
        <w:snapToGrid w:val="0"/>
        <w:spacing w:line="600" w:lineRule="exact"/>
        <w:ind w:firstLine="560" w:firstLineChars="200"/>
        <w:rPr>
          <w:rFonts w:hint="eastAsia" w:ascii="方正仿宋_GBK" w:hAnsi="宋体" w:eastAsia="方正仿宋_GBK"/>
          <w:color w:val="FF0000"/>
          <w:sz w:val="28"/>
          <w:szCs w:val="28"/>
        </w:rPr>
      </w:pPr>
      <w:r>
        <w:rPr>
          <w:rFonts w:hint="eastAsia" w:ascii="方正仿宋_GBK" w:hAnsi="宋体" w:eastAsia="方正仿宋_GBK" w:cs="MingLiU"/>
          <w:snapToGrid w:val="0"/>
          <w:color w:val="000000"/>
          <w:kern w:val="0"/>
          <w:position w:val="-2"/>
          <w:sz w:val="28"/>
          <w:szCs w:val="28"/>
          <w:lang w:val="en-US" w:eastAsia="zh-CN"/>
        </w:rPr>
        <w:t xml:space="preserve">3、重庆银行项目服务团队其他人员中施工员、安全员和造价员（造价师）应具有与其岗位相匹配的从业资格证书，须提供相应证书（施工员证、安全员证、造价员（师）证）复印件加盖公章。 </w:t>
      </w:r>
      <w:r>
        <w:rPr>
          <w:rFonts w:hint="eastAsia" w:ascii="方正仿宋_GBK" w:hAnsi="宋体" w:eastAsia="方正仿宋_GBK"/>
          <w:sz w:val="28"/>
          <w:szCs w:val="28"/>
          <w:lang w:val="en-US" w:eastAsia="zh-CN"/>
        </w:rPr>
        <w:t>。</w:t>
      </w:r>
    </w:p>
    <w:p>
      <w:pPr>
        <w:adjustRightInd w:val="0"/>
        <w:snapToGrid w:val="0"/>
        <w:spacing w:line="600" w:lineRule="exact"/>
        <w:ind w:left="105" w:leftChars="50"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（三）施工企业有下列情形之一的不能进入备选库</w:t>
      </w:r>
      <w:r>
        <w:rPr>
          <w:rFonts w:hint="eastAsia" w:ascii="方正仿宋_GBK" w:hAnsi="宋体" w:eastAsia="方正仿宋_GBK"/>
          <w:sz w:val="28"/>
          <w:szCs w:val="28"/>
          <w:lang w:eastAsia="zh-CN"/>
        </w:rPr>
        <w:t>（</w:t>
      </w:r>
      <w:r>
        <w:rPr>
          <w:rFonts w:hint="eastAsia" w:ascii="方正仿宋_GBK" w:hAnsi="宋体" w:eastAsia="方正仿宋_GBK"/>
          <w:color w:val="FF0000"/>
          <w:sz w:val="28"/>
          <w:szCs w:val="28"/>
        </w:rPr>
        <w:t>申请</w:t>
      </w:r>
      <w:r>
        <w:rPr>
          <w:rFonts w:hint="eastAsia" w:ascii="方正仿宋_GBK" w:hAnsi="宋体" w:eastAsia="方正仿宋_GBK"/>
          <w:color w:val="FF0000"/>
          <w:sz w:val="28"/>
          <w:szCs w:val="28"/>
          <w:lang w:val="en-US" w:eastAsia="zh-CN"/>
        </w:rPr>
        <w:t>人提供查询报告</w:t>
      </w:r>
      <w:r>
        <w:rPr>
          <w:rFonts w:hint="eastAsia" w:ascii="方正仿宋_GBK" w:hAnsi="宋体" w:eastAsia="方正仿宋_GBK"/>
          <w:sz w:val="28"/>
          <w:szCs w:val="28"/>
          <w:lang w:eastAsia="zh-CN"/>
        </w:rPr>
        <w:t>）</w:t>
      </w:r>
      <w:r>
        <w:rPr>
          <w:rFonts w:hint="eastAsia" w:ascii="方正仿宋_GBK" w:hAnsi="宋体" w:eastAsia="方正仿宋_GBK"/>
          <w:sz w:val="28"/>
          <w:szCs w:val="28"/>
        </w:rPr>
        <w:t xml:space="preserve">： </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截止日前两年内，</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人或其法定代表人被人民法院判定犯行贿罪的；</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2、被纳入失信惩戒名单的；</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3、偷逃税款，受到税务部门相关行政处罚的；</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4、被人民法院列为失信被执行人且在执行期内；</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上述4条，由申请入库企业提供“信用中国”网站查询报告。查询方式：进入信用中国网站www.creditchina.gov.cn，右上角查询框中输入企业名字查询，在查询结果中找到对应企业，下载信用信息报告。（提示：下载的信息报告为PDF格式，名称为“法人和非法人组织公共信用信息报告”，右上角有二维码校验码。）查询时间应当为本入库</w:t>
      </w:r>
      <w:r>
        <w:rPr>
          <w:rFonts w:hint="eastAsia" w:ascii="方正仿宋_GBK" w:hAnsi="宋体" w:eastAsia="方正仿宋_GBK"/>
          <w:sz w:val="28"/>
          <w:szCs w:val="28"/>
          <w:lang w:eastAsia="zh-CN"/>
        </w:rPr>
        <w:t>比选</w:t>
      </w:r>
      <w:r>
        <w:rPr>
          <w:rFonts w:hint="eastAsia" w:ascii="方正仿宋_GBK" w:hAnsi="宋体" w:eastAsia="方正仿宋_GBK"/>
          <w:sz w:val="28"/>
          <w:szCs w:val="28"/>
        </w:rPr>
        <w:t>文件发出之日至</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截止日之间任意一天。</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入库比选文件的</w:t>
      </w:r>
      <w:r>
        <w:rPr>
          <w:rFonts w:hint="eastAsia" w:ascii="方正仿宋_GBK" w:hAnsi="宋体" w:eastAsia="方正仿宋_GBK"/>
          <w:b/>
          <w:sz w:val="28"/>
          <w:szCs w:val="28"/>
          <w:lang w:eastAsia="zh-CN"/>
        </w:rPr>
        <w:t>获取</w:t>
      </w:r>
    </w:p>
    <w:p>
      <w:pPr>
        <w:adjustRightInd w:val="0"/>
        <w:snapToGrid w:val="0"/>
        <w:spacing w:line="600" w:lineRule="exact"/>
        <w:ind w:firstLine="560" w:firstLineChars="200"/>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rPr>
        <w:t>获取时间：从202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4</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 xml:space="preserve"> 6  </w:t>
      </w:r>
      <w:r>
        <w:rPr>
          <w:rFonts w:hint="eastAsia" w:ascii="方正仿宋_GBK" w:hAnsi="宋体" w:eastAsia="方正仿宋_GBK" w:cs="Times New Roman"/>
          <w:sz w:val="28"/>
          <w:szCs w:val="28"/>
        </w:rPr>
        <w:t>日09：00时至202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4</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 xml:space="preserve">20  </w:t>
      </w:r>
      <w:r>
        <w:rPr>
          <w:rFonts w:hint="eastAsia" w:ascii="方正仿宋_GBK" w:hAnsi="宋体" w:eastAsia="方正仿宋_GBK" w:cs="Times New Roman"/>
          <w:sz w:val="28"/>
          <w:szCs w:val="28"/>
        </w:rPr>
        <w:t>日17：00分</w:t>
      </w:r>
      <w:r>
        <w:rPr>
          <w:rFonts w:hint="eastAsia" w:ascii="方正仿宋_GBK" w:hAnsi="宋体" w:eastAsia="方正仿宋_GBK" w:cs="Times New Roman"/>
          <w:sz w:val="28"/>
          <w:szCs w:val="28"/>
          <w:lang w:eastAsia="zh-CN"/>
        </w:rPr>
        <w:t>（工作日，节假日除外）</w:t>
      </w:r>
    </w:p>
    <w:p>
      <w:pPr>
        <w:adjustRightInd w:val="0"/>
        <w:snapToGrid w:val="0"/>
        <w:spacing w:line="600" w:lineRule="exact"/>
        <w:ind w:firstLine="560" w:firstLineChars="20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获取方式：提供有效的营业执照（复印件加盖公章）</w:t>
      </w:r>
      <w:r>
        <w:rPr>
          <w:rFonts w:hint="eastAsia" w:ascii="方正仿宋_GBK" w:hAnsi="宋体" w:eastAsia="方正仿宋_GBK" w:cs="Times New Roman"/>
          <w:sz w:val="28"/>
          <w:szCs w:val="28"/>
          <w:lang w:eastAsia="zh-CN"/>
        </w:rPr>
        <w:t>、</w:t>
      </w:r>
      <w:r>
        <w:rPr>
          <w:rFonts w:hint="eastAsia" w:ascii="方正仿宋_GBK" w:hAnsi="宋体" w:eastAsia="方正仿宋_GBK" w:cs="Times New Roman"/>
          <w:sz w:val="28"/>
          <w:szCs w:val="28"/>
        </w:rPr>
        <w:fldChar w:fldCharType="begin"/>
      </w:r>
      <w:r>
        <w:rPr>
          <w:rFonts w:hint="eastAsia" w:ascii="方正仿宋_GBK" w:hAnsi="宋体" w:eastAsia="方正仿宋_GBK" w:cs="Times New Roman"/>
          <w:sz w:val="28"/>
          <w:szCs w:val="28"/>
        </w:rPr>
        <w:instrText xml:space="preserve"> HYPERLINK "mailto:法定代表人授权书扫描件发至417774292@qq.com" </w:instrText>
      </w:r>
      <w:r>
        <w:rPr>
          <w:rFonts w:hint="eastAsia" w:ascii="方正仿宋_GBK" w:hAnsi="宋体" w:eastAsia="方正仿宋_GBK" w:cs="Times New Roman"/>
          <w:sz w:val="28"/>
          <w:szCs w:val="28"/>
        </w:rPr>
        <w:fldChar w:fldCharType="separate"/>
      </w:r>
      <w:r>
        <w:rPr>
          <w:rFonts w:hint="eastAsia" w:ascii="方正仿宋_GBK" w:hAnsi="宋体" w:eastAsia="方正仿宋_GBK" w:cs="Times New Roman"/>
          <w:sz w:val="28"/>
          <w:szCs w:val="28"/>
        </w:rPr>
        <w:t>法定代表人授权书</w:t>
      </w:r>
      <w:r>
        <w:rPr>
          <w:rFonts w:hint="eastAsia" w:ascii="方正仿宋_GBK" w:hAnsi="宋体" w:eastAsia="方正仿宋_GBK" w:cs="Times New Roman"/>
          <w:sz w:val="28"/>
          <w:szCs w:val="28"/>
          <w:lang w:eastAsia="zh-CN"/>
        </w:rPr>
        <w:t>、联系人、联系电话</w:t>
      </w:r>
      <w:r>
        <w:rPr>
          <w:rFonts w:hint="eastAsia" w:ascii="方正仿宋_GBK" w:hAnsi="宋体" w:eastAsia="方正仿宋_GBK" w:cs="Times New Roman"/>
          <w:sz w:val="28"/>
          <w:szCs w:val="28"/>
        </w:rPr>
        <w:t>发至417774292@qq.com</w:t>
      </w:r>
      <w:r>
        <w:rPr>
          <w:rFonts w:hint="eastAsia" w:ascii="方正仿宋_GBK" w:hAnsi="宋体" w:eastAsia="方正仿宋_GBK" w:cs="Times New Roman"/>
          <w:sz w:val="28"/>
          <w:szCs w:val="28"/>
        </w:rPr>
        <w:fldChar w:fldCharType="end"/>
      </w:r>
      <w:r>
        <w:rPr>
          <w:rFonts w:hint="eastAsia" w:ascii="方正仿宋_GBK" w:hAnsi="宋体" w:eastAsia="方正仿宋_GBK" w:cs="Times New Roman"/>
          <w:sz w:val="28"/>
          <w:szCs w:val="28"/>
          <w:lang w:eastAsia="zh-CN"/>
        </w:rPr>
        <w:t>获取比选文件</w:t>
      </w:r>
      <w:r>
        <w:rPr>
          <w:rFonts w:hint="eastAsia" w:ascii="方正仿宋_GBK" w:hAnsi="宋体" w:eastAsia="方正仿宋_GBK" w:cs="Times New Roman"/>
          <w:sz w:val="28"/>
          <w:szCs w:val="28"/>
        </w:rPr>
        <w:t>。</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入库比选文件的澄清和修改</w:t>
      </w:r>
    </w:p>
    <w:p>
      <w:pPr>
        <w:numPr>
          <w:ilvl w:val="0"/>
          <w:numId w:val="2"/>
        </w:numPr>
        <w:adjustRightInd w:val="0"/>
        <w:snapToGrid w:val="0"/>
        <w:spacing w:line="600" w:lineRule="exact"/>
        <w:ind w:left="0" w:firstLine="719" w:firstLineChars="257"/>
        <w:rPr>
          <w:rFonts w:hint="eastAsia" w:ascii="方正仿宋_GBK" w:hAnsi="宋体" w:eastAsia="方正仿宋_GBK"/>
          <w:sz w:val="28"/>
          <w:szCs w:val="28"/>
        </w:rPr>
      </w:pPr>
      <w:r>
        <w:rPr>
          <w:rFonts w:hint="eastAsia" w:ascii="方正仿宋_GBK" w:hAnsi="宋体" w:eastAsia="方正仿宋_GBK"/>
          <w:sz w:val="28"/>
          <w:szCs w:val="28"/>
          <w:lang w:eastAsia="zh-CN"/>
        </w:rPr>
        <w:t>竞选人</w:t>
      </w:r>
      <w:r>
        <w:rPr>
          <w:rFonts w:hint="eastAsia" w:ascii="方正仿宋_GBK" w:hAnsi="宋体" w:eastAsia="方正仿宋_GBK"/>
          <w:sz w:val="28"/>
          <w:szCs w:val="28"/>
        </w:rPr>
        <w:t>应仔细阅读和检查比选文件的全部内容。如发现缺页或附件不全，应及时向</w:t>
      </w:r>
      <w:r>
        <w:rPr>
          <w:rFonts w:hint="eastAsia" w:ascii="方正仿宋_GBK" w:hAnsi="宋体" w:eastAsia="方正仿宋_GBK"/>
          <w:sz w:val="28"/>
          <w:szCs w:val="28"/>
          <w:lang w:eastAsia="zh-CN"/>
        </w:rPr>
        <w:t>比选人</w:t>
      </w:r>
      <w:r>
        <w:rPr>
          <w:rFonts w:hint="eastAsia" w:ascii="方正仿宋_GBK" w:hAnsi="宋体" w:eastAsia="方正仿宋_GBK"/>
          <w:sz w:val="28"/>
          <w:szCs w:val="28"/>
        </w:rPr>
        <w:t>提出，以便补齐。如有疑问，应在本比选文件发出之日起3日内以书面形式（包括书面文字、传真等）向</w:t>
      </w:r>
      <w:r>
        <w:rPr>
          <w:rFonts w:hint="eastAsia" w:ascii="方正仿宋_GBK" w:hAnsi="宋体" w:eastAsia="方正仿宋_GBK"/>
          <w:sz w:val="28"/>
          <w:szCs w:val="28"/>
          <w:lang w:eastAsia="zh-CN"/>
        </w:rPr>
        <w:t>比选人或比选代理机构</w:t>
      </w:r>
      <w:r>
        <w:rPr>
          <w:rFonts w:hint="eastAsia" w:ascii="方正仿宋_GBK" w:hAnsi="宋体" w:eastAsia="方正仿宋_GBK"/>
          <w:sz w:val="28"/>
          <w:szCs w:val="28"/>
        </w:rPr>
        <w:t>提出。</w:t>
      </w:r>
      <w:r>
        <w:rPr>
          <w:rFonts w:hint="eastAsia" w:ascii="方正仿宋_GBK" w:hAnsi="宋体" w:eastAsia="方正仿宋_GBK"/>
          <w:sz w:val="28"/>
          <w:szCs w:val="28"/>
          <w:lang w:eastAsia="zh-CN"/>
        </w:rPr>
        <w:t>接收邮箱：</w:t>
      </w:r>
      <w:r>
        <w:rPr>
          <w:rFonts w:hint="eastAsia" w:ascii="方正仿宋_GBK" w:hAnsi="宋体" w:eastAsia="方正仿宋_GBK"/>
          <w:sz w:val="28"/>
          <w:szCs w:val="28"/>
          <w:lang w:val="en-US" w:eastAsia="zh-CN"/>
        </w:rPr>
        <w:t>417774292@qq.com</w:t>
      </w:r>
    </w:p>
    <w:p>
      <w:pPr>
        <w:numPr>
          <w:ilvl w:val="0"/>
          <w:numId w:val="2"/>
        </w:numPr>
        <w:adjustRightInd w:val="0"/>
        <w:snapToGrid w:val="0"/>
        <w:spacing w:line="600" w:lineRule="exact"/>
        <w:ind w:left="0" w:firstLine="719" w:firstLineChars="257"/>
        <w:rPr>
          <w:rFonts w:hint="eastAsia" w:ascii="方正仿宋_GBK" w:hAnsi="宋体" w:eastAsia="方正仿宋_GBK"/>
          <w:sz w:val="28"/>
          <w:szCs w:val="28"/>
        </w:rPr>
      </w:pPr>
      <w:r>
        <w:rPr>
          <w:rFonts w:hint="eastAsia" w:ascii="方正仿宋_GBK" w:hAnsi="宋体" w:eastAsia="方正仿宋_GBK"/>
          <w:sz w:val="28"/>
          <w:szCs w:val="28"/>
        </w:rPr>
        <w:t>采购人对比选文件如有澄清或修改，将以补遗书的形式在重庆银行官网（www.cqcbank.com）进行通知，修改内容将作为比选文件的组成部分。</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入库的</w:t>
      </w:r>
      <w:r>
        <w:rPr>
          <w:rFonts w:hint="eastAsia" w:ascii="方正仿宋_GBK" w:hAnsi="宋体" w:eastAsia="方正仿宋_GBK"/>
          <w:b/>
          <w:sz w:val="28"/>
          <w:szCs w:val="28"/>
          <w:lang w:eastAsia="zh-CN"/>
        </w:rPr>
        <w:t>竞选文件</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lang w:eastAsia="zh-CN"/>
        </w:rPr>
        <w:t>竞选人</w:t>
      </w:r>
      <w:r>
        <w:rPr>
          <w:rFonts w:hint="eastAsia" w:ascii="方正仿宋_GBK" w:hAnsi="宋体" w:eastAsia="方正仿宋_GBK"/>
          <w:sz w:val="28"/>
          <w:szCs w:val="28"/>
        </w:rPr>
        <w:t>应当按照以下要求编制入库</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，并对入库比选文件提出的要求和条件作出实质性响应。</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rPr>
        <w:t>1、入库</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文件组成</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文件由以下部分和申请人所作的一切有效补充、修改和承诺等文件组成，</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人应按照本文件第二部分“</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文件格式”规定的格式及顺序组织编写和装订。</w:t>
      </w:r>
    </w:p>
    <w:p>
      <w:pPr>
        <w:tabs>
          <w:tab w:val="left" w:pos="1800"/>
        </w:tabs>
        <w:adjustRightInd w:val="0"/>
        <w:snapToGrid w:val="0"/>
        <w:spacing w:line="600" w:lineRule="exact"/>
        <w:ind w:firstLine="843" w:firstLineChars="300"/>
        <w:rPr>
          <w:rFonts w:hint="eastAsia" w:ascii="方正仿宋_GBK" w:hAnsi="宋体" w:eastAsia="方正仿宋_GBK"/>
          <w:b/>
          <w:sz w:val="28"/>
          <w:szCs w:val="28"/>
        </w:rPr>
      </w:pPr>
      <w:r>
        <w:rPr>
          <w:rFonts w:hint="eastAsia" w:ascii="方正仿宋_GBK" w:hAnsi="宋体" w:eastAsia="方正仿宋_GBK" w:cs="Times New Roman"/>
          <w:b/>
          <w:sz w:val="28"/>
          <w:szCs w:val="28"/>
          <w:lang w:eastAsia="zh-CN"/>
        </w:rPr>
        <w:t>竞选</w:t>
      </w:r>
      <w:r>
        <w:rPr>
          <w:rFonts w:hint="eastAsia" w:ascii="方正仿宋_GBK" w:hAnsi="宋体" w:eastAsia="方正仿宋_GBK" w:cs="Times New Roman"/>
          <w:b/>
          <w:sz w:val="28"/>
          <w:szCs w:val="28"/>
        </w:rPr>
        <w:t>人以上所提供纸质材料均需加盖公章，并对真实性、合法性、有效性、完整</w:t>
      </w:r>
      <w:r>
        <w:rPr>
          <w:rFonts w:hint="eastAsia" w:ascii="方正仿宋_GBK" w:hAnsi="宋体" w:eastAsia="方正仿宋_GBK"/>
          <w:b/>
          <w:sz w:val="28"/>
          <w:szCs w:val="28"/>
        </w:rPr>
        <w:t>性承担法律责任。</w:t>
      </w:r>
      <w:r>
        <w:rPr>
          <w:rFonts w:hint="eastAsia" w:ascii="方正仿宋_GBK" w:hAnsi="宋体" w:eastAsia="方正仿宋_GBK"/>
          <w:b/>
          <w:sz w:val="28"/>
          <w:szCs w:val="28"/>
          <w:lang w:val="en-US" w:eastAsia="zh-CN"/>
        </w:rPr>
        <w:t>比选人在入库公示期结束后将</w:t>
      </w:r>
      <w:r>
        <w:rPr>
          <w:rFonts w:hint="eastAsia" w:ascii="方正仿宋_GBK" w:hAnsi="宋体" w:eastAsia="方正仿宋_GBK" w:cs="Times New Roman"/>
          <w:b/>
          <w:sz w:val="28"/>
          <w:szCs w:val="28"/>
          <w:lang w:val="en-US" w:eastAsia="zh-CN"/>
        </w:rPr>
        <w:t>对竞选人</w:t>
      </w:r>
      <w:r>
        <w:rPr>
          <w:rFonts w:hint="eastAsia" w:ascii="方正仿宋_GBK" w:hAnsi="宋体" w:eastAsia="方正仿宋_GBK"/>
          <w:b/>
          <w:sz w:val="28"/>
          <w:szCs w:val="28"/>
        </w:rPr>
        <w:t>资质原件</w:t>
      </w:r>
      <w:r>
        <w:rPr>
          <w:rFonts w:hint="eastAsia" w:ascii="方正仿宋_GBK" w:hAnsi="宋体" w:eastAsia="方正仿宋_GBK"/>
          <w:b/>
          <w:sz w:val="28"/>
          <w:szCs w:val="28"/>
          <w:lang w:val="en-US" w:eastAsia="zh-CN"/>
        </w:rPr>
        <w:t>进行</w:t>
      </w:r>
      <w:r>
        <w:rPr>
          <w:rFonts w:hint="eastAsia" w:ascii="方正仿宋_GBK" w:hAnsi="宋体" w:eastAsia="方正仿宋_GBK"/>
          <w:b/>
          <w:sz w:val="28"/>
          <w:szCs w:val="28"/>
        </w:rPr>
        <w:t>审查。</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w:t>
      </w:r>
      <w:r>
        <w:rPr>
          <w:rFonts w:hint="eastAsia" w:ascii="方正仿宋_GBK" w:hAnsi="宋体" w:eastAsia="方正仿宋_GBK"/>
          <w:b/>
          <w:sz w:val="28"/>
          <w:szCs w:val="28"/>
          <w:lang w:eastAsia="zh-CN"/>
        </w:rPr>
        <w:t>竞选文件</w:t>
      </w:r>
      <w:r>
        <w:rPr>
          <w:rFonts w:hint="eastAsia" w:ascii="方正仿宋_GBK" w:hAnsi="宋体" w:eastAsia="方正仿宋_GBK"/>
          <w:b/>
          <w:sz w:val="28"/>
          <w:szCs w:val="28"/>
        </w:rPr>
        <w:t>的数量、签署及装订要求</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入库</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一式三份，一正二副（</w:t>
      </w:r>
      <w:r>
        <w:rPr>
          <w:rFonts w:hint="eastAsia" w:ascii="方正仿宋_GBK" w:hAnsi="宋体" w:eastAsia="方正仿宋_GBK"/>
          <w:b/>
          <w:sz w:val="28"/>
          <w:szCs w:val="28"/>
        </w:rPr>
        <w:t>电子文档仅需提供一份</w:t>
      </w:r>
      <w:r>
        <w:rPr>
          <w:rFonts w:hint="eastAsia" w:ascii="方正仿宋_GBK" w:hAnsi="宋体" w:eastAsia="方正仿宋_GBK"/>
          <w:sz w:val="28"/>
          <w:szCs w:val="28"/>
        </w:rPr>
        <w:t>）。正本与副本不一致时，以正本为准。</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应装订成册，并编制页码，不得采用活页装订。</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应密封。</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本比选文件提供有统一格式的，</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应按统一的格式制作，并在相应的位置签字或盖章。本比选文件没有提供统一格式的，由申请人自行确定格式填报。</w:t>
      </w:r>
    </w:p>
    <w:p>
      <w:pPr>
        <w:numPr>
          <w:ilvl w:val="0"/>
          <w:numId w:val="1"/>
        </w:numPr>
        <w:tabs>
          <w:tab w:val="left" w:pos="540"/>
          <w:tab w:val="left" w:pos="720"/>
          <w:tab w:val="clear" w:pos="967"/>
        </w:tabs>
        <w:ind w:hanging="60"/>
        <w:rPr>
          <w:rFonts w:hint="eastAsia" w:ascii="仿宋_GB2312" w:hAnsi="宋体" w:eastAsia="仿宋_GB2312"/>
          <w:b/>
          <w:sz w:val="28"/>
          <w:szCs w:val="28"/>
        </w:rPr>
      </w:pPr>
      <w:r>
        <w:rPr>
          <w:rFonts w:hint="eastAsia" w:ascii="仿宋_GB2312" w:hAnsi="宋体" w:eastAsia="仿宋_GB2312"/>
          <w:b/>
          <w:sz w:val="28"/>
          <w:szCs w:val="28"/>
        </w:rPr>
        <w:t>入库</w:t>
      </w:r>
      <w:r>
        <w:rPr>
          <w:rFonts w:hint="eastAsia" w:ascii="仿宋_GB2312" w:hAnsi="宋体" w:eastAsia="仿宋_GB2312"/>
          <w:b/>
          <w:sz w:val="28"/>
          <w:szCs w:val="28"/>
          <w:lang w:eastAsia="zh-CN"/>
        </w:rPr>
        <w:t>竞选文件</w:t>
      </w:r>
      <w:r>
        <w:rPr>
          <w:rFonts w:hint="eastAsia" w:ascii="仿宋_GB2312" w:hAnsi="宋体" w:eastAsia="仿宋_GB2312"/>
          <w:b/>
          <w:sz w:val="28"/>
          <w:szCs w:val="28"/>
        </w:rPr>
        <w:t>的递交时间及地点</w:t>
      </w:r>
    </w:p>
    <w:p>
      <w:pPr>
        <w:adjustRightInd w:val="0"/>
        <w:snapToGrid w:val="0"/>
        <w:spacing w:line="600" w:lineRule="exact"/>
        <w:ind w:firstLine="560" w:firstLineChars="20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递交截止时间：202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4</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 xml:space="preserve">21  </w:t>
      </w:r>
      <w:r>
        <w:rPr>
          <w:rFonts w:hint="eastAsia" w:ascii="方正仿宋_GBK" w:hAnsi="宋体" w:eastAsia="方正仿宋_GBK" w:cs="Times New Roman"/>
          <w:sz w:val="28"/>
          <w:szCs w:val="28"/>
        </w:rPr>
        <w:t>日</w:t>
      </w:r>
      <w:r>
        <w:rPr>
          <w:rFonts w:hint="eastAsia" w:ascii="方正仿宋_GBK" w:hAnsi="宋体" w:eastAsia="方正仿宋_GBK" w:cs="Times New Roman"/>
          <w:sz w:val="28"/>
          <w:szCs w:val="28"/>
          <w:lang w:val="en-US" w:eastAsia="zh-CN"/>
        </w:rPr>
        <w:t>09</w:t>
      </w:r>
      <w:r>
        <w:rPr>
          <w:rFonts w:hint="eastAsia" w:ascii="方正仿宋_GBK" w:hAnsi="宋体" w:eastAsia="方正仿宋_GBK" w:cs="Times New Roman"/>
          <w:sz w:val="28"/>
          <w:szCs w:val="28"/>
        </w:rPr>
        <w:t>：</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0分</w:t>
      </w:r>
    </w:p>
    <w:p>
      <w:pPr>
        <w:adjustRightInd w:val="0"/>
        <w:snapToGrid w:val="0"/>
        <w:spacing w:line="600" w:lineRule="exact"/>
        <w:ind w:firstLine="560" w:firstLineChars="200"/>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rPr>
        <w:t>递交方式：现场递交</w:t>
      </w:r>
      <w:r>
        <w:rPr>
          <w:rFonts w:hint="eastAsia" w:ascii="方正仿宋_GBK" w:hAnsi="宋体" w:eastAsia="方正仿宋_GBK" w:cs="Times New Roman"/>
          <w:sz w:val="28"/>
          <w:szCs w:val="28"/>
          <w:lang w:eastAsia="zh-CN"/>
        </w:rPr>
        <w:t>。</w:t>
      </w:r>
      <w:r>
        <w:rPr>
          <w:rFonts w:hint="eastAsia" w:ascii="方正仿宋_GBK" w:hAnsi="宋体" w:eastAsia="方正仿宋_GBK" w:cs="Times New Roman"/>
          <w:sz w:val="28"/>
          <w:szCs w:val="28"/>
          <w:lang w:val="en-US" w:eastAsia="zh-CN"/>
        </w:rPr>
        <w:t xml:space="preserve"> </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方正仿宋_GBK" w:hAnsi="宋体" w:eastAsia="方正仿宋_GBK" w:cs="Times New Roman"/>
          <w:sz w:val="28"/>
          <w:szCs w:val="28"/>
          <w:lang w:val="en-US" w:eastAsia="zh-CN"/>
        </w:rPr>
        <w:t>递交地点：重庆银行西安分行（陕西省西安市高新区唐延路25号银河新坐标大厦重庆银行西安分行，三楼第三会议室）。</w:t>
      </w:r>
    </w:p>
    <w:p>
      <w:pPr>
        <w:numPr>
          <w:ilvl w:val="0"/>
          <w:numId w:val="1"/>
        </w:numPr>
        <w:tabs>
          <w:tab w:val="left" w:pos="540"/>
          <w:tab w:val="left" w:pos="720"/>
          <w:tab w:val="left" w:pos="900"/>
          <w:tab w:val="clear" w:pos="967"/>
        </w:tabs>
        <w:ind w:hanging="60"/>
        <w:rPr>
          <w:rFonts w:hint="eastAsia" w:ascii="仿宋_GB2312" w:hAnsi="宋体" w:eastAsia="仿宋_GB2312"/>
          <w:b/>
          <w:sz w:val="28"/>
          <w:szCs w:val="28"/>
        </w:rPr>
      </w:pPr>
      <w:r>
        <w:rPr>
          <w:rFonts w:hint="eastAsia" w:ascii="仿宋_GB2312" w:hAnsi="宋体" w:eastAsia="仿宋_GB2312"/>
          <w:b/>
          <w:sz w:val="28"/>
          <w:szCs w:val="28"/>
        </w:rPr>
        <w:t>入库比选及评审</w:t>
      </w:r>
    </w:p>
    <w:p>
      <w:pPr>
        <w:numPr>
          <w:ilvl w:val="3"/>
          <w:numId w:val="1"/>
        </w:numPr>
        <w:tabs>
          <w:tab w:val="left" w:pos="540"/>
          <w:tab w:val="left" w:pos="720"/>
          <w:tab w:val="left" w:pos="1080"/>
          <w:tab w:val="clear" w:pos="2550"/>
        </w:tabs>
        <w:ind w:left="0" w:firstLine="540"/>
        <w:rPr>
          <w:rFonts w:hint="eastAsia" w:ascii="仿宋_GB2312" w:hAnsi="宋体" w:eastAsia="仿宋_GB2312"/>
          <w:sz w:val="28"/>
          <w:szCs w:val="28"/>
        </w:rPr>
      </w:pPr>
      <w:r>
        <w:rPr>
          <w:rFonts w:hint="eastAsia" w:ascii="仿宋_GB2312" w:hAnsi="宋体" w:eastAsia="仿宋_GB2312"/>
          <w:sz w:val="28"/>
          <w:szCs w:val="28"/>
        </w:rPr>
        <w:t>入库比选的时间和地点</w:t>
      </w:r>
    </w:p>
    <w:p>
      <w:pPr>
        <w:adjustRightInd w:val="0"/>
        <w:snapToGrid w:val="0"/>
        <w:spacing w:line="600" w:lineRule="exact"/>
        <w:ind w:firstLine="560" w:firstLineChars="200"/>
        <w:rPr>
          <w:rFonts w:hint="eastAsia" w:ascii="仿宋_GB2312" w:hAnsi="宋体" w:eastAsia="仿宋_GB2312" w:cs="Times New Roman"/>
          <w:sz w:val="28"/>
          <w:szCs w:val="28"/>
          <w:highlight w:val="none"/>
          <w:lang w:eastAsia="zh-CN"/>
        </w:rPr>
      </w:pPr>
      <w:r>
        <w:rPr>
          <w:rFonts w:hint="eastAsia" w:ascii="仿宋_GB2312" w:hAnsi="宋体" w:eastAsia="仿宋_GB2312"/>
          <w:sz w:val="28"/>
          <w:szCs w:val="28"/>
          <w:highlight w:val="none"/>
          <w:lang w:eastAsia="zh-CN"/>
        </w:rPr>
        <w:t>比选时间：</w:t>
      </w:r>
      <w:r>
        <w:rPr>
          <w:rFonts w:hint="eastAsia" w:ascii="仿宋_GB2312" w:hAnsi="宋体" w:eastAsia="仿宋_GB2312"/>
          <w:sz w:val="28"/>
          <w:szCs w:val="28"/>
          <w:highlight w:val="none"/>
        </w:rPr>
        <w:t>2</w:t>
      </w:r>
      <w:r>
        <w:rPr>
          <w:rFonts w:hint="eastAsia" w:ascii="仿宋_GB2312" w:hAnsi="宋体" w:eastAsia="仿宋_GB2312" w:cs="Times New Roman"/>
          <w:sz w:val="28"/>
          <w:szCs w:val="28"/>
          <w:highlight w:val="none"/>
          <w:lang w:eastAsia="zh-CN"/>
        </w:rPr>
        <w:t>02</w:t>
      </w:r>
      <w:r>
        <w:rPr>
          <w:rFonts w:hint="eastAsia" w:ascii="仿宋_GB2312" w:hAnsi="宋体" w:eastAsia="仿宋_GB2312" w:cs="Times New Roman"/>
          <w:sz w:val="28"/>
          <w:szCs w:val="28"/>
          <w:highlight w:val="none"/>
          <w:lang w:val="en-US" w:eastAsia="zh-CN"/>
        </w:rPr>
        <w:t>3</w:t>
      </w:r>
      <w:r>
        <w:rPr>
          <w:rFonts w:hint="eastAsia" w:ascii="仿宋_GB2312" w:hAnsi="宋体" w:eastAsia="仿宋_GB2312" w:cs="Times New Roman"/>
          <w:sz w:val="28"/>
          <w:szCs w:val="28"/>
          <w:highlight w:val="none"/>
          <w:lang w:eastAsia="zh-CN"/>
        </w:rPr>
        <w:t>年</w:t>
      </w:r>
      <w:r>
        <w:rPr>
          <w:rFonts w:hint="eastAsia" w:ascii="仿宋_GB2312" w:hAnsi="宋体" w:eastAsia="仿宋_GB2312" w:cs="Times New Roman"/>
          <w:sz w:val="28"/>
          <w:szCs w:val="28"/>
          <w:highlight w:val="none"/>
          <w:lang w:val="en-US" w:eastAsia="zh-CN"/>
        </w:rPr>
        <w:t>4</w:t>
      </w:r>
      <w:r>
        <w:rPr>
          <w:rFonts w:hint="eastAsia" w:ascii="仿宋_GB2312" w:hAnsi="宋体" w:eastAsia="仿宋_GB2312" w:cs="Times New Roman"/>
          <w:sz w:val="28"/>
          <w:szCs w:val="28"/>
          <w:highlight w:val="none"/>
          <w:lang w:eastAsia="zh-CN"/>
        </w:rPr>
        <w:t>月</w:t>
      </w:r>
      <w:r>
        <w:rPr>
          <w:rFonts w:hint="eastAsia" w:ascii="仿宋_GB2312" w:hAnsi="宋体" w:eastAsia="仿宋_GB2312" w:cs="Times New Roman"/>
          <w:sz w:val="28"/>
          <w:szCs w:val="28"/>
          <w:highlight w:val="none"/>
          <w:lang w:val="en-US" w:eastAsia="zh-CN"/>
        </w:rPr>
        <w:t xml:space="preserve">21  </w:t>
      </w:r>
      <w:r>
        <w:rPr>
          <w:rFonts w:hint="eastAsia" w:ascii="仿宋_GB2312" w:hAnsi="宋体" w:eastAsia="仿宋_GB2312" w:cs="Times New Roman"/>
          <w:sz w:val="28"/>
          <w:szCs w:val="28"/>
          <w:highlight w:val="none"/>
          <w:lang w:eastAsia="zh-CN"/>
        </w:rPr>
        <w:t>日</w:t>
      </w:r>
      <w:r>
        <w:rPr>
          <w:rFonts w:hint="eastAsia" w:ascii="仿宋_GB2312" w:hAnsi="宋体" w:eastAsia="仿宋_GB2312" w:cs="Times New Roman"/>
          <w:sz w:val="28"/>
          <w:szCs w:val="28"/>
          <w:highlight w:val="none"/>
          <w:lang w:val="en-US" w:eastAsia="zh-CN"/>
        </w:rPr>
        <w:t>09：30</w:t>
      </w:r>
      <w:r>
        <w:rPr>
          <w:rFonts w:hint="eastAsia" w:ascii="仿宋_GB2312" w:hAnsi="宋体" w:eastAsia="仿宋_GB2312" w:cs="Times New Roman"/>
          <w:sz w:val="28"/>
          <w:szCs w:val="28"/>
          <w:highlight w:val="none"/>
          <w:lang w:eastAsia="zh-CN"/>
        </w:rPr>
        <w:t>（北京时间）。</w:t>
      </w:r>
    </w:p>
    <w:p>
      <w:pPr>
        <w:adjustRightInd w:val="0"/>
        <w:snapToGrid w:val="0"/>
        <w:spacing w:line="600" w:lineRule="exact"/>
        <w:ind w:firstLine="560" w:firstLineChars="200"/>
        <w:rPr>
          <w:rFonts w:hint="eastAsia" w:ascii="仿宋_GB2312" w:hAnsi="宋体" w:eastAsia="仿宋_GB2312" w:cs="Times New Roman"/>
          <w:sz w:val="28"/>
          <w:szCs w:val="28"/>
          <w:highlight w:val="none"/>
          <w:lang w:eastAsia="zh-CN"/>
        </w:rPr>
      </w:pPr>
      <w:r>
        <w:rPr>
          <w:rFonts w:hint="eastAsia" w:ascii="仿宋_GB2312" w:hAnsi="宋体" w:eastAsia="仿宋_GB2312" w:cs="Times New Roman"/>
          <w:sz w:val="28"/>
          <w:szCs w:val="28"/>
          <w:highlight w:val="none"/>
          <w:lang w:eastAsia="zh-CN"/>
        </w:rPr>
        <w:t>比选地点：</w:t>
      </w:r>
      <w:r>
        <w:rPr>
          <w:rFonts w:hint="eastAsia" w:ascii="方正仿宋_GBK" w:hAnsi="宋体" w:eastAsia="方正仿宋_GBK" w:cs="Times New Roman"/>
          <w:sz w:val="28"/>
          <w:szCs w:val="28"/>
          <w:lang w:val="en-US" w:eastAsia="zh-CN"/>
        </w:rPr>
        <w:t>重庆银行西安分行（陕西省西安市高</w:t>
      </w:r>
      <w:bookmarkStart w:id="19" w:name="_GoBack"/>
      <w:bookmarkEnd w:id="19"/>
      <w:r>
        <w:rPr>
          <w:rFonts w:hint="eastAsia" w:ascii="方正仿宋_GBK" w:hAnsi="宋体" w:eastAsia="方正仿宋_GBK" w:cs="Times New Roman"/>
          <w:sz w:val="28"/>
          <w:szCs w:val="28"/>
          <w:lang w:val="en-US" w:eastAsia="zh-CN"/>
        </w:rPr>
        <w:t>新区唐延路25号银河新坐标大厦重庆银行西安分行，三楼第三会议室）。</w:t>
      </w:r>
    </w:p>
    <w:p>
      <w:pPr>
        <w:numPr>
          <w:ilvl w:val="3"/>
          <w:numId w:val="1"/>
        </w:numPr>
        <w:tabs>
          <w:tab w:val="left" w:pos="540"/>
          <w:tab w:val="left" w:pos="720"/>
          <w:tab w:val="left" w:pos="1080"/>
          <w:tab w:val="clear" w:pos="2550"/>
        </w:tabs>
        <w:ind w:left="0" w:firstLine="540"/>
        <w:rPr>
          <w:rFonts w:hint="eastAsia" w:ascii="仿宋_GB2312" w:hAnsi="宋体" w:eastAsia="仿宋_GB2312"/>
          <w:sz w:val="28"/>
          <w:szCs w:val="28"/>
        </w:rPr>
      </w:pPr>
      <w:r>
        <w:rPr>
          <w:rFonts w:hint="eastAsia" w:ascii="仿宋_GB2312" w:hAnsi="宋体" w:eastAsia="仿宋_GB2312"/>
          <w:sz w:val="28"/>
          <w:szCs w:val="28"/>
        </w:rPr>
        <w:t>评审小组的组成</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评审小组将由</w:t>
      </w:r>
      <w:r>
        <w:rPr>
          <w:rFonts w:hint="eastAsia" w:ascii="仿宋_GB2312" w:hAnsi="宋体" w:eastAsia="仿宋_GB2312"/>
          <w:sz w:val="28"/>
          <w:szCs w:val="28"/>
          <w:lang w:eastAsia="zh-CN"/>
        </w:rPr>
        <w:t>比选人按规定</w:t>
      </w:r>
      <w:r>
        <w:rPr>
          <w:rFonts w:hint="eastAsia" w:ascii="仿宋_GB2312" w:hAnsi="宋体" w:eastAsia="仿宋_GB2312"/>
          <w:sz w:val="28"/>
          <w:szCs w:val="28"/>
        </w:rPr>
        <w:t>组成。</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竞选</w:t>
      </w:r>
      <w:r>
        <w:rPr>
          <w:rFonts w:hint="eastAsia" w:ascii="仿宋_GB2312" w:hAnsi="宋体" w:eastAsia="仿宋_GB2312"/>
          <w:sz w:val="28"/>
          <w:szCs w:val="28"/>
        </w:rPr>
        <w:t>人须由其有效代理人（附授权委托书）参加比选，随时对评审小组的询问予以解答。</w:t>
      </w:r>
    </w:p>
    <w:p>
      <w:pPr>
        <w:numPr>
          <w:ilvl w:val="3"/>
          <w:numId w:val="1"/>
        </w:numPr>
        <w:tabs>
          <w:tab w:val="left" w:pos="540"/>
          <w:tab w:val="left" w:pos="720"/>
          <w:tab w:val="left" w:pos="1080"/>
          <w:tab w:val="clear" w:pos="2550"/>
        </w:tabs>
        <w:ind w:left="0" w:firstLine="540"/>
        <w:rPr>
          <w:rFonts w:hint="eastAsia" w:ascii="仿宋_GB2312" w:hAnsi="宋体" w:eastAsia="仿宋_GB2312"/>
          <w:sz w:val="28"/>
          <w:szCs w:val="28"/>
        </w:rPr>
      </w:pPr>
      <w:r>
        <w:rPr>
          <w:rFonts w:hint="eastAsia" w:ascii="仿宋_GB2312" w:hAnsi="宋体" w:eastAsia="仿宋_GB2312"/>
          <w:sz w:val="28"/>
          <w:szCs w:val="28"/>
        </w:rPr>
        <w:t>比选程序</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（1）初步评审</w:t>
      </w:r>
    </w:p>
    <w:p>
      <w:pPr>
        <w:tabs>
          <w:tab w:val="left" w:pos="0"/>
          <w:tab w:val="left" w:pos="540"/>
          <w:tab w:val="left" w:pos="1260"/>
        </w:tabs>
        <w:ind w:left="720"/>
        <w:rPr>
          <w:rFonts w:hint="eastAsia" w:ascii="仿宋_GB2312" w:hAnsi="宋体" w:eastAsia="仿宋_GB2312"/>
          <w:sz w:val="28"/>
          <w:szCs w:val="28"/>
        </w:rPr>
      </w:pPr>
      <w:r>
        <w:rPr>
          <w:rFonts w:hint="eastAsia" w:ascii="仿宋_GB2312" w:hAnsi="宋体" w:eastAsia="仿宋_GB2312"/>
          <w:sz w:val="28"/>
          <w:szCs w:val="28"/>
        </w:rPr>
        <w:t>核验供应商的基本资格条件（按比选须知第五条）；</w:t>
      </w:r>
    </w:p>
    <w:p>
      <w:pPr>
        <w:tabs>
          <w:tab w:val="left" w:pos="0"/>
          <w:tab w:val="left" w:pos="540"/>
        </w:tabs>
        <w:ind w:firstLine="560" w:firstLineChars="200"/>
        <w:rPr>
          <w:rFonts w:hint="eastAsia" w:ascii="仿宋_GB2312" w:hAnsi="宋体" w:eastAsia="仿宋_GB2312"/>
          <w:sz w:val="28"/>
          <w:szCs w:val="28"/>
        </w:rPr>
      </w:pPr>
      <w:r>
        <w:rPr>
          <w:rFonts w:hint="eastAsia" w:ascii="仿宋_GB2312" w:hAnsi="宋体" w:eastAsia="仿宋_GB2312"/>
          <w:sz w:val="28"/>
          <w:szCs w:val="28"/>
        </w:rPr>
        <w:t>（2）详细评审</w:t>
      </w:r>
    </w:p>
    <w:p>
      <w:pPr>
        <w:tabs>
          <w:tab w:val="left" w:pos="0"/>
          <w:tab w:val="left" w:pos="540"/>
        </w:tabs>
        <w:ind w:firstLine="560" w:firstLineChars="200"/>
        <w:rPr>
          <w:rFonts w:hint="eastAsia" w:ascii="仿宋_GB2312" w:hAnsi="宋体" w:eastAsia="仿宋_GB2312"/>
          <w:sz w:val="28"/>
          <w:szCs w:val="28"/>
        </w:rPr>
      </w:pPr>
      <w:r>
        <w:rPr>
          <w:rFonts w:hint="eastAsia" w:ascii="仿宋_GB2312" w:hAnsi="宋体" w:eastAsia="仿宋_GB2312"/>
          <w:sz w:val="28"/>
          <w:szCs w:val="28"/>
        </w:rPr>
        <w:t>仅对初步评审合格的</w:t>
      </w:r>
      <w:r>
        <w:rPr>
          <w:rFonts w:hint="eastAsia" w:ascii="仿宋_GB2312" w:hAnsi="宋体" w:eastAsia="仿宋_GB2312"/>
          <w:sz w:val="28"/>
          <w:szCs w:val="28"/>
          <w:lang w:eastAsia="zh-CN"/>
        </w:rPr>
        <w:t>竞选文件</w:t>
      </w:r>
      <w:r>
        <w:rPr>
          <w:rFonts w:hint="eastAsia" w:ascii="仿宋_GB2312" w:hAnsi="宋体" w:eastAsia="仿宋_GB2312"/>
          <w:sz w:val="28"/>
          <w:szCs w:val="28"/>
        </w:rPr>
        <w:t>进行详细评审。详细评审采用综合评分法。评审小组按以下评审分值进行评分。</w:t>
      </w:r>
    </w:p>
    <w:tbl>
      <w:tblPr>
        <w:tblStyle w:val="9"/>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68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75"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评审项目</w:t>
            </w:r>
          </w:p>
        </w:tc>
        <w:tc>
          <w:tcPr>
            <w:tcW w:w="1686"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分值</w:t>
            </w:r>
          </w:p>
        </w:tc>
        <w:tc>
          <w:tcPr>
            <w:tcW w:w="5664"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服务方案</w:t>
            </w:r>
          </w:p>
        </w:tc>
        <w:tc>
          <w:tcPr>
            <w:tcW w:w="1686" w:type="dxa"/>
            <w:vMerge w:val="restart"/>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30分</w:t>
            </w:r>
          </w:p>
        </w:tc>
        <w:tc>
          <w:tcPr>
            <w:tcW w:w="5664"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trPr>
        <w:tc>
          <w:tcPr>
            <w:tcW w:w="1575" w:type="dxa"/>
            <w:vMerge w:val="continue"/>
            <w:noWrap w:val="0"/>
            <w:vAlign w:val="center"/>
          </w:tcPr>
          <w:p>
            <w:pPr>
              <w:spacing w:line="400" w:lineRule="exact"/>
              <w:jc w:val="center"/>
              <w:rPr>
                <w:rFonts w:ascii="方正仿宋_GBK" w:hAnsi="方正仿宋_GBK" w:eastAsia="方正仿宋_GBK" w:cs="方正仿宋_GBK"/>
                <w:kern w:val="0"/>
                <w:sz w:val="24"/>
              </w:rPr>
            </w:pPr>
          </w:p>
        </w:tc>
        <w:tc>
          <w:tcPr>
            <w:tcW w:w="1686" w:type="dxa"/>
            <w:vMerge w:val="continue"/>
            <w:noWrap w:val="0"/>
            <w:vAlign w:val="center"/>
          </w:tcPr>
          <w:p>
            <w:pPr>
              <w:spacing w:line="400" w:lineRule="exact"/>
              <w:jc w:val="center"/>
              <w:rPr>
                <w:rFonts w:ascii="方正仿宋_GBK" w:hAnsi="方正仿宋_GBK" w:eastAsia="方正仿宋_GBK" w:cs="方正仿宋_GBK"/>
                <w:sz w:val="24"/>
              </w:rPr>
            </w:pPr>
          </w:p>
        </w:tc>
        <w:tc>
          <w:tcPr>
            <w:tcW w:w="5664" w:type="dxa"/>
            <w:noWrap w:val="0"/>
            <w:vAlign w:val="center"/>
          </w:tcPr>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（一）可行性建议及完整性（20分）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1.针对重庆银行项目从施工的角度提出合理化建议的可行性，拟采取的管理服务办法：根据银行项目的特点和需求制定的内部管理办法、项目管理措施。（10分）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优得8-10分，良4-7分，一般1-3分，差为0分。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2.内容完整性和编制水平（5分）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优得5分，良3-4分，一般1-2分，差为0分。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3.提供增值服务承诺，能满足我行个性化服务的需求。（5分）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优得5分，良3-4分，一般1-2分，差为0分。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（二）重庆银行项目团队组织结构及人员情况（10分）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1.组织架构情况：部门分工明确，设置合理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2.人员配备是否科学合理 </w:t>
            </w:r>
          </w:p>
          <w:p>
            <w:pPr>
              <w:spacing w:line="240" w:lineRule="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3.组织机构和岗位职责:是否符合项目特点 </w:t>
            </w:r>
          </w:p>
          <w:p>
            <w:pPr>
              <w:spacing w:line="240" w:lineRule="auto"/>
              <w:rPr>
                <w:rFonts w:ascii="方正仿宋_GBK" w:hAnsi="方正仿宋_GBK" w:eastAsia="方正仿宋_GBK" w:cs="方正仿宋_GBK"/>
                <w:sz w:val="24"/>
                <w:lang w:bidi="ar"/>
              </w:rPr>
            </w:pPr>
            <w:r>
              <w:rPr>
                <w:rFonts w:hint="eastAsia" w:ascii="仿宋" w:hAnsi="仿宋" w:eastAsia="仿宋"/>
                <w:color w:val="000000"/>
                <w:sz w:val="24"/>
                <w:szCs w:val="24"/>
                <w:lang w:val="en-US" w:eastAsia="zh-CN"/>
              </w:rPr>
              <w:t xml:space="preserve">优得8-10分，良4-7分，一般1-3分，差为0分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企业信用</w:t>
            </w:r>
          </w:p>
        </w:tc>
        <w:tc>
          <w:tcPr>
            <w:tcW w:w="1686" w:type="dxa"/>
            <w:vMerge w:val="restart"/>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5664" w:type="dxa"/>
            <w:noWrap w:val="0"/>
            <w:vAlign w:val="center"/>
          </w:tcPr>
          <w:p>
            <w:pPr>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continue"/>
            <w:noWrap w:val="0"/>
            <w:vAlign w:val="center"/>
          </w:tcPr>
          <w:p>
            <w:pPr>
              <w:spacing w:line="400" w:lineRule="exact"/>
              <w:jc w:val="center"/>
              <w:rPr>
                <w:rFonts w:ascii="方正仿宋_GBK" w:hAnsi="方正仿宋_GBK" w:eastAsia="方正仿宋_GBK" w:cs="方正仿宋_GBK"/>
                <w:kern w:val="0"/>
                <w:sz w:val="24"/>
              </w:rPr>
            </w:pPr>
          </w:p>
        </w:tc>
        <w:tc>
          <w:tcPr>
            <w:tcW w:w="1686" w:type="dxa"/>
            <w:vMerge w:val="continue"/>
            <w:noWrap w:val="0"/>
            <w:vAlign w:val="center"/>
          </w:tcPr>
          <w:p>
            <w:pPr>
              <w:spacing w:line="400" w:lineRule="exact"/>
              <w:jc w:val="center"/>
              <w:rPr>
                <w:rFonts w:ascii="方正仿宋_GBK" w:hAnsi="方正仿宋_GBK" w:eastAsia="方正仿宋_GBK" w:cs="方正仿宋_GBK"/>
                <w:sz w:val="24"/>
              </w:rPr>
            </w:pPr>
          </w:p>
        </w:tc>
        <w:tc>
          <w:tcPr>
            <w:tcW w:w="5664" w:type="dxa"/>
            <w:noWrap w:val="0"/>
            <w:vAlign w:val="center"/>
          </w:tcPr>
          <w:p>
            <w:pPr>
              <w:spacing w:beforeLines="0" w:afterLines="0" w:line="240" w:lineRule="auto"/>
              <w:jc w:val="left"/>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 xml:space="preserve">由供应商提供截止入库征集文件发出日“信用中国”和“中国执行信息公开网”网站的截图，行政处罚项无处罚记录得10分。行政处罚有一次记录扣1分，5次（不含）记录以上扣10分。 </w:t>
            </w:r>
          </w:p>
          <w:p>
            <w:pPr>
              <w:spacing w:beforeLines="0" w:afterLines="0" w:line="240" w:lineRule="auto"/>
              <w:jc w:val="left"/>
              <w:rPr>
                <w:rFonts w:ascii="方正仿宋_GBK" w:hAnsi="方正仿宋_GBK" w:eastAsia="方正仿宋_GBK" w:cs="方正仿宋_GBK"/>
                <w:sz w:val="24"/>
              </w:rPr>
            </w:pPr>
            <w:r>
              <w:rPr>
                <w:rFonts w:hint="eastAsia" w:ascii="仿宋" w:hAnsi="仿宋" w:eastAsia="仿宋" w:cs="Times New Roman"/>
                <w:color w:val="000000"/>
                <w:sz w:val="24"/>
                <w:szCs w:val="24"/>
              </w:rPr>
              <w:t>查询方式：进入信用中国网站www.creditchina.gov.cn，右上角查询框中输入企业名字查询，在查询结果中找到对应企业，下载信用信息报告。（提示：下载的信息报告为PDF格式，右上角应有二维码校验码。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企业资质</w:t>
            </w:r>
          </w:p>
        </w:tc>
        <w:tc>
          <w:tcPr>
            <w:tcW w:w="1686" w:type="dxa"/>
            <w:vMerge w:val="restart"/>
            <w:noWrap w:val="0"/>
            <w:vAlign w:val="center"/>
          </w:tcPr>
          <w:p>
            <w:pPr>
              <w:spacing w:line="400" w:lineRule="exact"/>
              <w:jc w:val="center"/>
              <w:rPr>
                <w:rFonts w:ascii="方正仿宋_GBK" w:hAnsi="方正仿宋_GBK" w:eastAsia="方正仿宋_GBK" w:cs="方正仿宋_GBK"/>
                <w:sz w:val="24"/>
              </w:rPr>
            </w:pPr>
          </w:p>
          <w:p>
            <w:pPr>
              <w:spacing w:line="400" w:lineRule="exact"/>
              <w:jc w:val="center"/>
              <w:rPr>
                <w:rFonts w:ascii="方正仿宋_GBK" w:hAnsi="方正仿宋_GBK" w:eastAsia="方正仿宋_GBK" w:cs="方正仿宋_GBK"/>
                <w:sz w:val="24"/>
              </w:rPr>
            </w:pP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25分</w:t>
            </w:r>
          </w:p>
        </w:tc>
        <w:tc>
          <w:tcPr>
            <w:tcW w:w="5664"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75" w:type="dxa"/>
            <w:vMerge w:val="continue"/>
            <w:noWrap w:val="0"/>
            <w:vAlign w:val="center"/>
          </w:tcPr>
          <w:p>
            <w:pPr>
              <w:spacing w:line="400" w:lineRule="exact"/>
              <w:jc w:val="center"/>
              <w:rPr>
                <w:rFonts w:ascii="方正仿宋_GBK" w:hAnsi="方正仿宋_GBK" w:eastAsia="方正仿宋_GBK" w:cs="方正仿宋_GBK"/>
                <w:color w:val="auto"/>
                <w:kern w:val="0"/>
                <w:sz w:val="24"/>
              </w:rPr>
            </w:pPr>
          </w:p>
        </w:tc>
        <w:tc>
          <w:tcPr>
            <w:tcW w:w="1686" w:type="dxa"/>
            <w:vMerge w:val="continue"/>
            <w:noWrap w:val="0"/>
            <w:vAlign w:val="center"/>
          </w:tcPr>
          <w:p>
            <w:pPr>
              <w:spacing w:line="400" w:lineRule="exact"/>
              <w:jc w:val="center"/>
              <w:rPr>
                <w:rFonts w:ascii="方正仿宋_GBK" w:hAnsi="方正仿宋_GBK" w:eastAsia="方正仿宋_GBK" w:cs="方正仿宋_GBK"/>
                <w:color w:val="auto"/>
                <w:sz w:val="24"/>
              </w:rPr>
            </w:pPr>
          </w:p>
        </w:tc>
        <w:tc>
          <w:tcPr>
            <w:tcW w:w="5664" w:type="dxa"/>
            <w:noWrap w:val="0"/>
            <w:vAlign w:val="center"/>
          </w:tcPr>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（一）企业具有建筑行政主管部分颁发的建筑幕墙工程专业承包一级资质得4分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（二）企业具有建筑行政主管部门颁发的消防设施工程专业承包一级得5分，二级得3分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（三）企业具有建筑行政主管部门颁发的建筑机电安装工程专业承包二级或以上得5分，三级得3分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（四）企业具有建筑行政主管部门颁发的建筑工程施工总承包资质（不区分等级）得5分 (提供证书复印件，加盖投标单位公章) ； </w:t>
            </w:r>
          </w:p>
          <w:p>
            <w:pPr>
              <w:spacing w:line="4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（五）具备有效的环境管理体系认证证书得3分,具备有效的职业健康安全管理证书得3分（提供证书复印件及中国国家认证认可监督管理委员会网站查询截图并加盖投标单位公章）。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noWrap w:val="0"/>
            <w:vAlign w:val="center"/>
          </w:tcPr>
          <w:p>
            <w:pPr>
              <w:widowControl/>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服务能力</w:t>
            </w:r>
          </w:p>
        </w:tc>
        <w:tc>
          <w:tcPr>
            <w:tcW w:w="1686" w:type="dxa"/>
            <w:noWrap w:val="0"/>
            <w:vAlign w:val="center"/>
          </w:tcPr>
          <w:p>
            <w:pPr>
              <w:widowControl/>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10分</w:t>
            </w:r>
          </w:p>
        </w:tc>
        <w:tc>
          <w:tcPr>
            <w:tcW w:w="5664" w:type="dxa"/>
            <w:noWrap w:val="0"/>
            <w:vAlign w:val="center"/>
          </w:tcPr>
          <w:p>
            <w:pPr>
              <w:pStyle w:val="4"/>
              <w:spacing w:line="400" w:lineRule="exact"/>
              <w:ind w:firstLine="48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 xml:space="preserve">（一）企业具有建筑专业类注册建造师10（含）人以上得6分，5（含）-10（不含）人得4分，2（含）-5（不含）人得2分，2人以下不得分。 </w:t>
            </w:r>
          </w:p>
          <w:p>
            <w:pPr>
              <w:pStyle w:val="4"/>
              <w:spacing w:line="400" w:lineRule="exact"/>
              <w:ind w:firstLine="48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 xml:space="preserve">（二）企业持有岗位证书的施工现场管理人员20（含）人以上得4分，10（含）-20（不含）人得2分，10（不含）人以下不得分。 </w:t>
            </w:r>
          </w:p>
          <w:p>
            <w:pPr>
              <w:pStyle w:val="4"/>
              <w:spacing w:line="400" w:lineRule="exact"/>
              <w:ind w:firstLine="48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 xml:space="preserve">提供上述人员征集招标文件发出之日前3个月的企业所在地养老保险缴费记录证明并加盖公章。 </w:t>
            </w:r>
          </w:p>
          <w:p>
            <w:pPr>
              <w:pStyle w:val="4"/>
              <w:spacing w:line="400" w:lineRule="exact"/>
              <w:ind w:firstLine="480"/>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提供上述人员证书复印件并加盖公章。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项目业绩</w:t>
            </w:r>
          </w:p>
        </w:tc>
        <w:tc>
          <w:tcPr>
            <w:tcW w:w="1686" w:type="dxa"/>
            <w:vMerge w:val="restart"/>
            <w:noWrap w:val="0"/>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25分</w:t>
            </w:r>
          </w:p>
        </w:tc>
        <w:tc>
          <w:tcPr>
            <w:tcW w:w="5664" w:type="dxa"/>
            <w:noWrap w:val="0"/>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75" w:type="dxa"/>
            <w:vMerge w:val="continue"/>
            <w:noWrap w:val="0"/>
            <w:vAlign w:val="center"/>
          </w:tcPr>
          <w:p>
            <w:pPr>
              <w:widowControl/>
              <w:spacing w:line="400" w:lineRule="exact"/>
              <w:jc w:val="left"/>
              <w:rPr>
                <w:rFonts w:ascii="方正仿宋_GBK" w:hAnsi="方正仿宋_GBK" w:eastAsia="方正仿宋_GBK" w:cs="方正仿宋_GBK"/>
                <w:color w:val="auto"/>
                <w:kern w:val="0"/>
                <w:sz w:val="24"/>
              </w:rPr>
            </w:pPr>
          </w:p>
        </w:tc>
        <w:tc>
          <w:tcPr>
            <w:tcW w:w="1686" w:type="dxa"/>
            <w:vMerge w:val="continue"/>
            <w:noWrap w:val="0"/>
            <w:vAlign w:val="center"/>
          </w:tcPr>
          <w:p>
            <w:pPr>
              <w:widowControl/>
              <w:spacing w:line="400" w:lineRule="exact"/>
              <w:jc w:val="left"/>
              <w:rPr>
                <w:rFonts w:ascii="方正仿宋_GBK" w:hAnsi="方正仿宋_GBK" w:eastAsia="方正仿宋_GBK" w:cs="方正仿宋_GBK"/>
                <w:color w:val="auto"/>
                <w:sz w:val="24"/>
              </w:rPr>
            </w:pPr>
          </w:p>
        </w:tc>
        <w:tc>
          <w:tcPr>
            <w:tcW w:w="5664" w:type="dxa"/>
            <w:noWrap w:val="0"/>
            <w:vAlign w:val="top"/>
          </w:tcPr>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根据供应商2020年1月1日至入库征集文件发出日期间公共建筑装饰装修项目业绩进行打分：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（一）每提供1份合同金额200万元（含）及以上装饰装修工程业绩得5分；该项最多得25分。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（二）每提供1份合同金额100万（含）-200万元（不含）装饰装修工程业绩得3分；该项最多得10分。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（三）每提供1份合同金额50万（含）-100万元（不含）装饰装修工程业绩得1分；该项最多得5分。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（四）以上三项累计积分，累计最高不超过25分。 </w:t>
            </w:r>
          </w:p>
          <w:p>
            <w:pPr>
              <w:spacing w:line="400" w:lineRule="exact"/>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（提供合同复印件并加盖投标单位公章，业绩时间以合同签订时间为准）。</w:t>
            </w:r>
          </w:p>
        </w:tc>
      </w:tr>
    </w:tbl>
    <w:p>
      <w:pPr>
        <w:snapToGrid w:val="0"/>
        <w:spacing w:line="600" w:lineRule="exact"/>
        <w:rPr>
          <w:rFonts w:hint="eastAsia" w:ascii="仿宋_GB2312" w:hAnsi="宋体" w:eastAsia="仿宋_GB2312" w:cs="仿宋_GB2312"/>
          <w:b/>
          <w:sz w:val="30"/>
          <w:szCs w:val="30"/>
        </w:rPr>
      </w:pPr>
    </w:p>
    <w:p>
      <w:pPr>
        <w:tabs>
          <w:tab w:val="left" w:pos="540"/>
          <w:tab w:val="left" w:pos="720"/>
        </w:tabs>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（3）推荐入库供应商</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评审结束后，根据综合得分从高到低排序，如出现申请人得分相同的情况，则通过抽签确定排序。本次入库供应商为</w:t>
      </w:r>
      <w:r>
        <w:rPr>
          <w:rFonts w:hint="eastAsia" w:ascii="仿宋_GB2312" w:hAnsi="宋体" w:eastAsia="仿宋_GB2312"/>
          <w:b/>
          <w:bCs/>
          <w:color w:val="FF0000"/>
          <w:sz w:val="28"/>
          <w:szCs w:val="28"/>
          <w:lang w:val="en-US" w:eastAsia="zh-CN"/>
        </w:rPr>
        <w:t>4-6</w:t>
      </w:r>
      <w:r>
        <w:rPr>
          <w:rFonts w:hint="eastAsia" w:ascii="仿宋_GB2312" w:hAnsi="宋体" w:eastAsia="仿宋_GB2312"/>
          <w:b/>
          <w:bCs/>
          <w:color w:val="FF0000"/>
          <w:sz w:val="28"/>
          <w:szCs w:val="28"/>
        </w:rPr>
        <w:t>家</w:t>
      </w:r>
      <w:r>
        <w:rPr>
          <w:rFonts w:hint="eastAsia" w:ascii="仿宋_GB2312" w:hAnsi="宋体" w:eastAsia="仿宋_GB2312"/>
          <w:sz w:val="28"/>
          <w:szCs w:val="28"/>
        </w:rPr>
        <w:t>，如此次征集各库数量未达到入库供应商数量下限，则重新征集。如此次征集数量达到入库数量下限且未达到入库供应商上限，则可根据实际使用情况经</w:t>
      </w:r>
      <w:r>
        <w:rPr>
          <w:rFonts w:hint="eastAsia" w:ascii="仿宋_GB2312" w:hAnsi="宋体" w:eastAsia="仿宋_GB2312"/>
          <w:sz w:val="28"/>
          <w:szCs w:val="28"/>
          <w:lang w:val="en-US" w:eastAsia="zh-CN"/>
        </w:rPr>
        <w:t>有权人</w:t>
      </w:r>
      <w:r>
        <w:rPr>
          <w:rFonts w:hint="eastAsia" w:ascii="仿宋_GB2312" w:hAnsi="宋体" w:eastAsia="仿宋_GB2312"/>
          <w:sz w:val="28"/>
          <w:szCs w:val="28"/>
        </w:rPr>
        <w:t>审议后增补供应商。</w:t>
      </w:r>
    </w:p>
    <w:p>
      <w:pPr>
        <w:tabs>
          <w:tab w:val="left" w:pos="540"/>
          <w:tab w:val="left" w:pos="720"/>
        </w:tabs>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（4）评审过程保密</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评审小组成员不得透露与比选有关的供应商的技术资料、商务信息和其他信息。</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在比选期间，若供应商有企图影响采购人的任何活动，此将导致其比选活动即时终止，由此而引发的一切法律后果将由其自行承担。</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rPr>
      </w:pPr>
      <w:r>
        <w:rPr>
          <w:rFonts w:hint="eastAsia" w:ascii="仿宋_GB2312" w:hAnsi="宋体" w:eastAsia="仿宋_GB2312"/>
          <w:b/>
          <w:sz w:val="28"/>
          <w:szCs w:val="28"/>
        </w:rPr>
        <w:t>成交通知</w:t>
      </w:r>
    </w:p>
    <w:p>
      <w:pPr>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(1)公示结束且无异议的，</w:t>
      </w:r>
      <w:r>
        <w:rPr>
          <w:rFonts w:hint="eastAsia" w:ascii="仿宋_GB2312" w:hAnsi="宋体" w:eastAsia="仿宋_GB2312" w:cs="Times New Roman"/>
          <w:sz w:val="28"/>
          <w:szCs w:val="28"/>
          <w:lang w:eastAsia="zh-CN"/>
        </w:rPr>
        <w:t>重庆国际投资咨询集团有限公司</w:t>
      </w:r>
      <w:r>
        <w:rPr>
          <w:rFonts w:hint="eastAsia" w:ascii="仿宋_GB2312" w:hAnsi="宋体" w:eastAsia="仿宋_GB2312" w:cs="Times New Roman"/>
          <w:sz w:val="28"/>
          <w:szCs w:val="28"/>
        </w:rPr>
        <w:t>将按相关程序以书面形式发出《成交通知书》。</w:t>
      </w:r>
    </w:p>
    <w:p>
      <w:pPr>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《成交通知书》是签订合同的书面依据,《成交通知书》一经发出即发生法律效力，竞</w:t>
      </w:r>
      <w:r>
        <w:rPr>
          <w:rFonts w:hint="eastAsia" w:ascii="仿宋_GB2312" w:hAnsi="宋体" w:eastAsia="仿宋_GB2312" w:cs="Times New Roman"/>
          <w:sz w:val="28"/>
          <w:szCs w:val="28"/>
          <w:lang w:eastAsia="zh-CN"/>
        </w:rPr>
        <w:t>选</w:t>
      </w:r>
      <w:r>
        <w:rPr>
          <w:rFonts w:hint="eastAsia" w:ascii="仿宋_GB2312" w:hAnsi="宋体" w:eastAsia="仿宋_GB2312" w:cs="Times New Roman"/>
          <w:sz w:val="28"/>
          <w:szCs w:val="28"/>
        </w:rPr>
        <w:t>人不在规定时间与</w:t>
      </w:r>
      <w:r>
        <w:rPr>
          <w:rFonts w:hint="eastAsia" w:ascii="仿宋_GB2312" w:hAnsi="宋体" w:eastAsia="仿宋_GB2312" w:cs="Times New Roman"/>
          <w:sz w:val="28"/>
          <w:szCs w:val="28"/>
          <w:lang w:eastAsia="zh-CN"/>
        </w:rPr>
        <w:t>比选</w:t>
      </w:r>
      <w:r>
        <w:rPr>
          <w:rFonts w:hint="eastAsia" w:ascii="仿宋_GB2312" w:hAnsi="宋体" w:eastAsia="仿宋_GB2312" w:cs="Times New Roman"/>
          <w:sz w:val="28"/>
          <w:szCs w:val="28"/>
        </w:rPr>
        <w:t>人签订合同的，视为拒签合同</w:t>
      </w:r>
    </w:p>
    <w:p>
      <w:pPr>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(2)</w:t>
      </w:r>
      <w:r>
        <w:rPr>
          <w:rFonts w:hint="eastAsia" w:ascii="仿宋_GB2312" w:hAnsi="宋体" w:eastAsia="仿宋_GB2312" w:cs="Times New Roman"/>
          <w:sz w:val="28"/>
          <w:szCs w:val="28"/>
          <w:lang w:eastAsia="zh-CN"/>
        </w:rPr>
        <w:t>中选</w:t>
      </w:r>
      <w:r>
        <w:rPr>
          <w:rFonts w:hint="eastAsia" w:ascii="仿宋_GB2312" w:hAnsi="宋体" w:eastAsia="仿宋_GB2312" w:cs="Times New Roman"/>
          <w:sz w:val="28"/>
          <w:szCs w:val="28"/>
        </w:rPr>
        <w:t>人须持中标服务费汇款凭证到</w:t>
      </w:r>
      <w:r>
        <w:rPr>
          <w:rFonts w:hint="eastAsia" w:ascii="仿宋_GB2312" w:hAnsi="宋体" w:eastAsia="仿宋_GB2312" w:cs="Times New Roman"/>
          <w:sz w:val="28"/>
          <w:szCs w:val="28"/>
          <w:lang w:eastAsia="zh-CN"/>
        </w:rPr>
        <w:t>重庆国际投资咨询集团有限公司</w:t>
      </w:r>
      <w:r>
        <w:rPr>
          <w:rFonts w:hint="eastAsia" w:ascii="仿宋_GB2312" w:hAnsi="宋体" w:eastAsia="仿宋_GB2312" w:cs="Times New Roman"/>
          <w:sz w:val="28"/>
          <w:szCs w:val="28"/>
        </w:rPr>
        <w:t>领取</w:t>
      </w:r>
      <w:r>
        <w:rPr>
          <w:rFonts w:hint="eastAsia" w:ascii="仿宋_GB2312" w:hAnsi="宋体" w:eastAsia="仿宋_GB2312" w:cs="Times New Roman"/>
          <w:sz w:val="28"/>
          <w:szCs w:val="28"/>
          <w:lang w:eastAsia="zh-CN"/>
        </w:rPr>
        <w:t>成交通知书</w:t>
      </w:r>
      <w:r>
        <w:rPr>
          <w:rFonts w:hint="eastAsia" w:ascii="仿宋_GB2312" w:hAnsi="宋体" w:eastAsia="仿宋_GB2312" w:cs="Times New Roman"/>
          <w:sz w:val="28"/>
          <w:szCs w:val="28"/>
        </w:rPr>
        <w:t>。</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rPr>
      </w:pPr>
      <w:r>
        <w:rPr>
          <w:rFonts w:hint="eastAsia" w:ascii="仿宋_GB2312" w:hAnsi="宋体" w:eastAsia="仿宋_GB2312"/>
          <w:b/>
          <w:sz w:val="28"/>
          <w:szCs w:val="28"/>
        </w:rPr>
        <w:t>其他</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本次入库招标为重庆银行西安分行工程项目供应商备选库A库，已入围总行工程项目供应商备选库A、B库及各异地分行A库的供应商不得参与本次征集。本次A库供应商入围有效期均为3年，本次西安分行工程项目供应商备选A库开始时间最早从2023年5月起计算（原合作意向书2023年5月到期），如合作意向书实际签订时间晚于该时间，以合作意向书实际签订时间为准。</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根据西安分行以往网点装修项目数量及发展趋势，西安分行A库入围供应商数量4-6家，如此次征集各库数量未达到入库供应商数量下限，则重新征集。如此次征集各库数量达到入库数量下限且未达到入库供应商上限，则可根据实际使用情况经集采委审议后增补供应商。</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3、采购人装修项目采用主要材料甲供的方式实施，甲供材料的种类有空调、部分装修主材（如墙地砖等）、弱电、技防设施、物防设施、消防设施、办公家具、广告、各种智能设备等。</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4、施工企业有下列情形之一的建议不能进入备选库（申请人提供查询报告）：</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（1）投标截止日前两年内，投标人或其法定代表人被人民法院判定犯行贿罪的；</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（2）被纳入失信惩戒名单的；</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（3）偷逃税款，受到税务部门相关行政处罚的；</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（4）被人民法院列为失信被执行人且在执行期内；</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 上述4条，由申请入库企业提供“信用中国”网站查询报告。查询方式：进入信用中国网站www.creditchina.gov.cn，右上角查询框中输入企业名字查询，在查询结果中找到对应企业，下载信用信息报告。（提示：下载的信息报告为PDF格式，名称为“法人和非法人组织公共信用信息报告”，右上角有二维码校验码。）查询时间应当为本入库征集文件发出之日至征集截止日之间任意一天。</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5、本次工程供应商入库企业适用采用竞争性磋商或竞争性谈判方式的装修项目【适用于纳入我行集中采购目录，装修项目预算在50万元（含）至400万元（不含）范围内的工程项目，公开招标的项目除外】。主要负责陕西省辖内网点装修、改造、原址恢复等工作内容。</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6、本次工程供应商A库服务区域内单个工程项目采购需求发生时，由需求部门邀请库内全部供应商，按照集中采购流程组织采购，采用经评审的最低价法进行竞争性谈判或磋商。单个工程项目投标报价方式原则上采用全风险总价包干方式。</w:t>
      </w:r>
    </w:p>
    <w:p>
      <w:pPr>
        <w:keepNext w:val="0"/>
        <w:keepLines w:val="0"/>
        <w:pageBreakBefore w:val="0"/>
        <w:widowControl w:val="0"/>
        <w:numPr>
          <w:ilvl w:val="0"/>
          <w:numId w:val="0"/>
        </w:numPr>
        <w:tabs>
          <w:tab w:val="left" w:pos="540"/>
          <w:tab w:val="left" w:pos="720"/>
          <w:tab w:val="left" w:pos="900"/>
        </w:tabs>
        <w:kinsoku/>
        <w:wordWrap/>
        <w:overflowPunct/>
        <w:topLinePunct w:val="0"/>
        <w:autoSpaceDE/>
        <w:autoSpaceDN/>
        <w:bidi w:val="0"/>
        <w:adjustRightInd/>
        <w:snapToGrid/>
        <w:spacing w:line="600" w:lineRule="exact"/>
        <w:ind w:leftChars="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7、本次工程供应商入库企业如出现《重庆银行采购管理办法》中规定的禁用或退出情形的，将严格按照该规定执行。</w:t>
      </w:r>
    </w:p>
    <w:p>
      <w:pPr>
        <w:numPr>
          <w:ilvl w:val="0"/>
          <w:numId w:val="0"/>
        </w:numPr>
        <w:tabs>
          <w:tab w:val="left" w:pos="540"/>
          <w:tab w:val="left" w:pos="720"/>
          <w:tab w:val="left" w:pos="900"/>
        </w:tabs>
        <w:spacing w:line="600" w:lineRule="exact"/>
        <w:ind w:leftChars="0"/>
        <w:rPr>
          <w:rFonts w:hint="eastAsia" w:ascii="仿宋_GB2312" w:hAnsi="宋体" w:eastAsia="仿宋_GB2312" w:cs="Times New Roman"/>
          <w:b/>
          <w:sz w:val="28"/>
          <w:szCs w:val="28"/>
        </w:rPr>
      </w:pPr>
      <w:r>
        <w:rPr>
          <w:rFonts w:hint="eastAsia" w:ascii="仿宋_GB2312" w:hAnsi="宋体" w:eastAsia="仿宋_GB2312" w:cs="Times New Roman"/>
          <w:b/>
          <w:sz w:val="28"/>
          <w:szCs w:val="28"/>
          <w:lang w:eastAsia="zh-CN"/>
        </w:rPr>
        <w:t>十四、</w:t>
      </w:r>
      <w:r>
        <w:rPr>
          <w:rFonts w:hint="eastAsia" w:ascii="仿宋_GB2312" w:hAnsi="宋体" w:eastAsia="仿宋_GB2312" w:cs="Times New Roman"/>
          <w:b/>
          <w:sz w:val="28"/>
          <w:szCs w:val="28"/>
        </w:rPr>
        <w:t>代理服务费</w:t>
      </w:r>
    </w:p>
    <w:p>
      <w:pPr>
        <w:spacing w:line="360" w:lineRule="auto"/>
        <w:ind w:firstLine="560"/>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竞选人中选后</w:t>
      </w:r>
      <w:r>
        <w:rPr>
          <w:rFonts w:hint="eastAsia" w:ascii="仿宋_GB2312" w:hAnsi="宋体" w:eastAsia="仿宋_GB2312" w:cs="Times New Roman"/>
          <w:sz w:val="28"/>
          <w:szCs w:val="28"/>
          <w:lang w:val="en-US" w:eastAsia="zh-CN"/>
        </w:rPr>
        <w:t>在领取成交通知书前向比选代理机构缴纳服务费2万元，由代理服务费由各竞选单位平均分摊。缴费账户信息如下：</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账户名称：重庆国际投资咨询集团有限公司 </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人民币开户行：中国工商银行重庆五里店支行   </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人民币账号：3100023419200023047</w:t>
      </w:r>
    </w:p>
    <w:p>
      <w:pPr>
        <w:numPr>
          <w:ilvl w:val="0"/>
          <w:numId w:val="0"/>
        </w:numPr>
        <w:tabs>
          <w:tab w:val="left" w:pos="540"/>
          <w:tab w:val="left" w:pos="720"/>
          <w:tab w:val="left" w:pos="900"/>
        </w:tabs>
        <w:spacing w:line="600" w:lineRule="exact"/>
        <w:ind w:leftChars="0"/>
        <w:rPr>
          <w:rFonts w:hint="eastAsia" w:ascii="仿宋_GB2312" w:hAnsi="宋体" w:eastAsia="仿宋_GB2312" w:cs="Times New Roman"/>
          <w:b/>
          <w:sz w:val="28"/>
          <w:szCs w:val="28"/>
          <w:lang w:eastAsia="zh-CN"/>
        </w:rPr>
      </w:pPr>
      <w:r>
        <w:rPr>
          <w:rFonts w:hint="eastAsia" w:ascii="仿宋_GB2312" w:hAnsi="宋体" w:eastAsia="仿宋_GB2312" w:cs="Times New Roman"/>
          <w:b/>
          <w:sz w:val="28"/>
          <w:szCs w:val="28"/>
          <w:lang w:eastAsia="zh-CN"/>
        </w:rPr>
        <w:t>十五、联系方式</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采购人：重庆银行股份有限公司</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地  址：重庆市江北区永平门街6号</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联系人：周老师</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电  话：023-63367309 </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招标代理机构：重庆国际投资咨询集团有限公司</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地   址：重庆市江北区五简路2号咨询大厦A座2002室</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联 系 人：张老师  </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联系电话：023-67702053</w:t>
      </w:r>
    </w:p>
    <w:p>
      <w:pPr>
        <w:ind w:firstLine="560"/>
        <w:rPr>
          <w:rFonts w:hint="eastAsia" w:ascii="仿宋_GB2312" w:hAnsi="宋体" w:eastAsia="仿宋_GB2312" w:cs="Times New Roman"/>
          <w:sz w:val="28"/>
          <w:szCs w:val="28"/>
          <w:lang w:val="en-US" w:eastAsia="zh-CN"/>
        </w:rPr>
      </w:pPr>
    </w:p>
    <w:p>
      <w:pPr>
        <w:rPr>
          <w:rFonts w:ascii="仿宋_GB2312" w:hAnsi="宋体" w:eastAsia="仿宋_GB2312"/>
          <w:sz w:val="28"/>
          <w:szCs w:val="28"/>
        </w:rPr>
      </w:pPr>
    </w:p>
    <w:p>
      <w:pPr>
        <w:rPr>
          <w:rFonts w:ascii="仿宋_GB2312" w:hAnsi="宋体" w:eastAsia="仿宋_GB2312"/>
          <w:sz w:val="28"/>
          <w:szCs w:val="28"/>
        </w:rPr>
      </w:pPr>
    </w:p>
    <w:p>
      <w:pPr>
        <w:pStyle w:val="3"/>
        <w:adjustRightInd w:val="0"/>
        <w:snapToGrid w:val="0"/>
        <w:spacing w:line="500" w:lineRule="exact"/>
        <w:jc w:val="center"/>
        <w:rPr>
          <w:rFonts w:hint="eastAsia"/>
          <w:sz w:val="36"/>
          <w:szCs w:val="36"/>
        </w:rPr>
      </w:pPr>
      <w:bookmarkStart w:id="3" w:name="_Toc55374220"/>
      <w:bookmarkStart w:id="4" w:name="_Toc49327254"/>
      <w:r>
        <w:rPr>
          <w:rFonts w:hint="eastAsia"/>
          <w:sz w:val="36"/>
          <w:szCs w:val="36"/>
        </w:rPr>
        <w:br w:type="page"/>
      </w:r>
      <w:r>
        <w:rPr>
          <w:rFonts w:hint="eastAsia"/>
          <w:sz w:val="36"/>
          <w:szCs w:val="36"/>
        </w:rPr>
        <w:t>第二部分</w:t>
      </w:r>
      <w:r>
        <w:rPr>
          <w:sz w:val="36"/>
          <w:szCs w:val="36"/>
        </w:rPr>
        <w:t>  </w:t>
      </w:r>
      <w:r>
        <w:rPr>
          <w:rFonts w:hint="eastAsia"/>
          <w:sz w:val="36"/>
          <w:szCs w:val="36"/>
        </w:rPr>
        <w:t>合作意向书条款</w:t>
      </w:r>
      <w:bookmarkEnd w:id="3"/>
      <w:bookmarkEnd w:id="4"/>
    </w:p>
    <w:p>
      <w:pPr>
        <w:adjustRightInd w:val="0"/>
        <w:snapToGrid w:val="0"/>
        <w:spacing w:line="600" w:lineRule="exact"/>
        <w:ind w:firstLine="560" w:firstLineChars="200"/>
        <w:rPr>
          <w:rFonts w:hint="eastAsia" w:ascii="方正小标宋_GBK" w:hAnsi="宋体" w:eastAsia="方正小标宋_GBK"/>
          <w:sz w:val="28"/>
          <w:szCs w:val="28"/>
        </w:rPr>
      </w:pPr>
      <w:r>
        <w:rPr>
          <w:rFonts w:hint="eastAsia" w:ascii="方正小标宋_GBK" w:hAnsi="宋体" w:eastAsia="方正小标宋_GBK"/>
          <w:sz w:val="28"/>
          <w:szCs w:val="28"/>
        </w:rPr>
        <w:t>以下条款内容如与比选文件其他内容要求不一致的，以比选文件其他内容要求为准。</w:t>
      </w:r>
    </w:p>
    <w:p>
      <w:pPr>
        <w:pStyle w:val="2"/>
        <w:rPr>
          <w:rFonts w:hint="eastAsia" w:ascii="方正小标宋_GBK" w:hAnsi="宋体" w:eastAsia="方正小标宋_GBK"/>
          <w:sz w:val="28"/>
          <w:szCs w:val="28"/>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sz w:val="48"/>
          <w:szCs w:val="48"/>
          <w:highlight w:val="none"/>
          <w:shd w:val="clear" w:color="auto" w:fill="auto"/>
          <w:lang w:eastAsia="zh-CN"/>
        </w:rPr>
      </w:pPr>
      <w:r>
        <w:rPr>
          <w:rFonts w:hint="eastAsia" w:ascii="方正小标宋_GBK" w:hAnsi="方正小标宋_GBK" w:eastAsia="方正小标宋_GBK" w:cs="方正小标宋_GBK"/>
          <w:b/>
          <w:sz w:val="48"/>
          <w:szCs w:val="48"/>
          <w:highlight w:val="none"/>
          <w:shd w:val="clear" w:color="auto" w:fill="auto"/>
          <w:lang w:val="en-US" w:eastAsia="zh-CN"/>
        </w:rPr>
        <w:t>2023</w:t>
      </w:r>
      <w:r>
        <w:rPr>
          <w:rFonts w:hint="eastAsia" w:ascii="方正小标宋_GBK" w:hAnsi="方正小标宋_GBK" w:eastAsia="方正小标宋_GBK" w:cs="方正小标宋_GBK"/>
          <w:b/>
          <w:sz w:val="48"/>
          <w:szCs w:val="48"/>
          <w:highlight w:val="none"/>
          <w:shd w:val="clear" w:color="auto" w:fill="auto"/>
          <w:lang w:eastAsia="zh-CN"/>
        </w:rPr>
        <w:t>年度重庆银行工程供应商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sz w:val="48"/>
          <w:szCs w:val="48"/>
          <w:highlight w:val="none"/>
          <w:shd w:val="clear" w:color="auto" w:fill="auto"/>
          <w:lang w:eastAsia="zh-CN"/>
        </w:rPr>
      </w:pPr>
      <w:r>
        <w:rPr>
          <w:rFonts w:hint="eastAsia" w:ascii="方正小标宋_GBK" w:hAnsi="方正小标宋_GBK" w:eastAsia="方正小标宋_GBK" w:cs="方正小标宋_GBK"/>
          <w:b/>
          <w:sz w:val="48"/>
          <w:szCs w:val="48"/>
          <w:highlight w:val="none"/>
          <w:shd w:val="clear" w:color="auto" w:fill="auto"/>
          <w:lang w:val="en-US" w:eastAsia="zh-CN"/>
        </w:rPr>
        <w:t>A库</w:t>
      </w:r>
      <w:r>
        <w:rPr>
          <w:rFonts w:hint="eastAsia" w:ascii="方正小标宋_GBK" w:hAnsi="方正小标宋_GBK" w:eastAsia="方正小标宋_GBK" w:cs="方正小标宋_GBK"/>
          <w:b/>
          <w:sz w:val="48"/>
          <w:szCs w:val="48"/>
          <w:highlight w:val="none"/>
          <w:shd w:val="clear" w:color="auto" w:fill="auto"/>
        </w:rPr>
        <w:t>合作</w:t>
      </w:r>
      <w:r>
        <w:rPr>
          <w:rFonts w:hint="eastAsia" w:ascii="方正小标宋_GBK" w:hAnsi="方正小标宋_GBK" w:eastAsia="方正小标宋_GBK" w:cs="方正小标宋_GBK"/>
          <w:b/>
          <w:sz w:val="48"/>
          <w:szCs w:val="48"/>
          <w:highlight w:val="none"/>
          <w:shd w:val="clear" w:color="auto" w:fill="auto"/>
          <w:lang w:eastAsia="zh-CN"/>
        </w:rPr>
        <w:t>意向书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仿宋_GBK" w:hAnsi="方正仿宋_GBK" w:eastAsia="方正仿宋_GBK" w:cs="方正仿宋_GBK"/>
          <w:b w:val="0"/>
          <w:bCs/>
          <w:sz w:val="32"/>
          <w:szCs w:val="32"/>
          <w:highlight w:val="none"/>
          <w:shd w:val="clear" w:color="auto" w:fill="auto"/>
          <w:lang w:eastAsia="zh-CN"/>
        </w:rPr>
      </w:pP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default" w:ascii="方正仿宋_GBK" w:hAnsi="方正仿宋_GBK" w:eastAsia="方正仿宋_GBK" w:cs="方正仿宋_GBK"/>
          <w:b w:val="0"/>
          <w:bCs/>
          <w:color w:val="000000"/>
          <w:sz w:val="32"/>
          <w:szCs w:val="32"/>
          <w:highlight w:val="none"/>
          <w:shd w:val="clear" w:color="auto" w:fill="auto"/>
          <w:lang w:val="en-US"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甲  方：重庆银行股份有限公司西安分行</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30" w:firstLine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联系人：</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电  话：</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邮  箱</w:t>
      </w:r>
      <w:r>
        <w:rPr>
          <w:rFonts w:hint="eastAsia" w:ascii="方正仿宋_GBK" w:hAnsi="方正仿宋_GBK" w:eastAsia="方正仿宋_GBK" w:cs="方正仿宋_GBK"/>
          <w:b w:val="0"/>
          <w:bCs/>
          <w:color w:val="000000"/>
          <w:sz w:val="32"/>
          <w:szCs w:val="32"/>
          <w:highlight w:val="none"/>
          <w:shd w:val="clear" w:color="auto" w:fill="auto"/>
          <w:lang w:eastAsia="zh-CN"/>
        </w:rPr>
        <w:t>：</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sz w:val="32"/>
          <w:szCs w:val="32"/>
          <w:highlight w:val="none"/>
          <w:shd w:val="clear" w:color="auto" w:fill="auto"/>
          <w:lang w:eastAsia="zh-CN"/>
        </w:rPr>
      </w:pPr>
      <w:r>
        <w:rPr>
          <w:rFonts w:hint="eastAsia" w:ascii="方正仿宋_GBK" w:hAnsi="方正仿宋_GBK" w:eastAsia="方正仿宋_GBK" w:cs="方正仿宋_GBK"/>
          <w:b w:val="0"/>
          <w:bCs/>
          <w:sz w:val="32"/>
          <w:szCs w:val="32"/>
          <w:highlight w:val="none"/>
          <w:shd w:val="clear" w:color="auto" w:fill="auto"/>
          <w:lang w:eastAsia="zh-CN"/>
        </w:rPr>
        <w:t>乙  方：</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30" w:firstLineChars="0"/>
        <w:textAlignment w:val="auto"/>
        <w:outlineLvl w:val="9"/>
        <w:rPr>
          <w:rFonts w:hint="eastAsia" w:ascii="方正仿宋_GBK" w:hAnsi="方正仿宋_GBK" w:eastAsia="方正仿宋_GBK" w:cs="方正仿宋_GBK"/>
          <w:b w:val="0"/>
          <w:bCs/>
          <w:sz w:val="32"/>
          <w:szCs w:val="32"/>
          <w:highlight w:val="none"/>
          <w:shd w:val="clear" w:color="auto" w:fill="auto"/>
          <w:lang w:eastAsia="zh-CN"/>
        </w:rPr>
      </w:pPr>
      <w:r>
        <w:rPr>
          <w:rFonts w:hint="eastAsia" w:ascii="方正仿宋_GBK" w:hAnsi="方正仿宋_GBK" w:eastAsia="方正仿宋_GBK" w:cs="方正仿宋_GBK"/>
          <w:b w:val="0"/>
          <w:bCs/>
          <w:sz w:val="32"/>
          <w:szCs w:val="32"/>
          <w:highlight w:val="none"/>
          <w:shd w:val="clear" w:color="auto" w:fill="auto"/>
          <w:lang w:eastAsia="zh-CN"/>
        </w:rPr>
        <w:t>联系人：</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default" w:ascii="方正仿宋_GBK" w:hAnsi="方正仿宋_GBK" w:eastAsia="方正仿宋_GBK" w:cs="方正仿宋_GBK"/>
          <w:b w:val="0"/>
          <w:bCs/>
          <w:sz w:val="32"/>
          <w:szCs w:val="32"/>
          <w:highlight w:val="none"/>
          <w:shd w:val="clear" w:color="auto" w:fill="auto"/>
          <w:lang w:val="en-US" w:eastAsia="zh-CN"/>
        </w:rPr>
      </w:pPr>
      <w:r>
        <w:rPr>
          <w:rFonts w:hint="eastAsia" w:ascii="方正仿宋_GBK" w:hAnsi="方正仿宋_GBK" w:eastAsia="方正仿宋_GBK" w:cs="方正仿宋_GBK"/>
          <w:b w:val="0"/>
          <w:bCs/>
          <w:sz w:val="32"/>
          <w:szCs w:val="32"/>
          <w:highlight w:val="none"/>
          <w:shd w:val="clear" w:color="auto" w:fill="auto"/>
          <w:lang w:eastAsia="zh-CN"/>
        </w:rPr>
        <w:t>电  话：</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default" w:ascii="方正仿宋_GBK" w:hAnsi="方正仿宋_GBK" w:eastAsia="方正仿宋_GBK" w:cs="方正仿宋_GBK"/>
          <w:b w:val="0"/>
          <w:bCs/>
          <w:sz w:val="32"/>
          <w:szCs w:val="32"/>
          <w:highlight w:val="none"/>
          <w:shd w:val="clear" w:color="auto" w:fill="auto"/>
          <w:lang w:val="en-US" w:eastAsia="zh-CN"/>
        </w:rPr>
      </w:pPr>
      <w:r>
        <w:rPr>
          <w:rFonts w:hint="eastAsia" w:ascii="方正仿宋_GBK" w:hAnsi="方正仿宋_GBK" w:eastAsia="方正仿宋_GBK" w:cs="方正仿宋_GBK"/>
          <w:b w:val="0"/>
          <w:bCs/>
          <w:sz w:val="32"/>
          <w:szCs w:val="32"/>
          <w:highlight w:val="none"/>
          <w:shd w:val="clear" w:color="auto" w:fill="auto"/>
          <w:lang w:val="en-US" w:eastAsia="zh-CN"/>
        </w:rPr>
        <w:t>邮  箱</w:t>
      </w:r>
      <w:r>
        <w:rPr>
          <w:rFonts w:hint="eastAsia" w:ascii="方正仿宋_GBK" w:hAnsi="方正仿宋_GBK" w:eastAsia="方正仿宋_GBK" w:cs="方正仿宋_GBK"/>
          <w:b w:val="0"/>
          <w:bCs/>
          <w:sz w:val="32"/>
          <w:szCs w:val="32"/>
          <w:highlight w:val="none"/>
          <w:shd w:val="clear" w:color="auto" w:fill="auto"/>
          <w:lang w:eastAsia="zh-CN"/>
        </w:rPr>
        <w:t>：</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甲乙双方一致认为，作为在各自领域国内知名企业，为实现强强联合，优势互补，实现资源共享、共同发展，使双方在各自领域实现更大发展；双方本着平等互利、诚实信用的原则，拟结成长期、全面的战略合作关系，为以后的合作打下一个坚实的基础。双方经过充分友好协商，</w:t>
      </w:r>
      <w:r>
        <w:rPr>
          <w:rFonts w:hint="eastAsia" w:ascii="方正仿宋_GBK" w:hAnsi="方正仿宋_GBK" w:eastAsia="方正仿宋_GBK" w:cs="方正仿宋_GBK"/>
          <w:color w:val="000000"/>
          <w:sz w:val="32"/>
          <w:szCs w:val="32"/>
          <w:highlight w:val="none"/>
        </w:rPr>
        <w:t>达成意向性合作，</w:t>
      </w:r>
      <w:r>
        <w:rPr>
          <w:rFonts w:hint="eastAsia" w:ascii="方正仿宋_GBK" w:hAnsi="方正仿宋_GBK" w:eastAsia="方正仿宋_GBK" w:cs="方正仿宋_GBK"/>
          <w:b w:val="0"/>
          <w:bCs/>
          <w:color w:val="000000"/>
          <w:sz w:val="32"/>
          <w:szCs w:val="32"/>
          <w:highlight w:val="none"/>
          <w:shd w:val="clear" w:color="auto" w:fill="auto"/>
        </w:rPr>
        <w:t>订立合作协议如下：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rPr>
        <w:t xml:space="preserve">一、合作宗旨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w:t>
      </w: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rPr>
        <w:t>（一）双方在合作中建立的互信、惯例与默契是商业合作伙伴关系的基础，提高效率与共同发展是双方合作的目标和根本利益。</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（二）本协议的基本原则是自愿、双赢、互惠互利、相互促进、共同发展、保守秘密、保护协作市场。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（三）充分发挥双方优势，优势互补，提高竞争力，共同进行市场开拓。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（四）本协议为框架协议，应是双方今后长期合作的指导性文件，也是双方签订相关合同的基础。</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rPr>
        <w:t>二、合作时间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27" w:firstLineChars="196"/>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3</w:t>
      </w:r>
      <w:r>
        <w:rPr>
          <w:rFonts w:hint="eastAsia" w:ascii="方正仿宋_GBK" w:hAnsi="方正仿宋_GBK" w:eastAsia="方正仿宋_GBK" w:cs="方正仿宋_GBK"/>
          <w:b w:val="0"/>
          <w:bCs/>
          <w:color w:val="000000"/>
          <w:sz w:val="32"/>
          <w:szCs w:val="32"/>
          <w:highlight w:val="none"/>
          <w:shd w:val="clear" w:color="auto" w:fill="auto"/>
        </w:rPr>
        <w:t>年</w:t>
      </w:r>
      <w:r>
        <w:rPr>
          <w:rFonts w:hint="eastAsia" w:ascii="方正仿宋_GBK" w:hAnsi="方正仿宋_GBK" w:eastAsia="方正仿宋_GBK" w:cs="方正仿宋_GBK"/>
          <w:b w:val="0"/>
          <w:bCs/>
          <w:color w:val="000000"/>
          <w:sz w:val="32"/>
          <w:szCs w:val="32"/>
          <w:highlight w:val="none"/>
          <w:shd w:val="clear" w:color="auto" w:fill="auto"/>
          <w:lang w:eastAsia="zh-CN"/>
        </w:rPr>
        <w:t>，从</w:t>
      </w:r>
      <w:r>
        <w:rPr>
          <w:rFonts w:hint="eastAsia" w:ascii="方正仿宋_GBK" w:hAnsi="方正仿宋_GBK" w:eastAsia="方正仿宋_GBK" w:cs="方正仿宋_GBK"/>
          <w:b w:val="0"/>
          <w:bCs/>
          <w:color w:val="000000"/>
          <w:sz w:val="32"/>
          <w:szCs w:val="32"/>
          <w:highlight w:val="none"/>
          <w:shd w:val="clear" w:color="auto" w:fill="auto"/>
          <w:lang w:val="en-US" w:eastAsia="zh-CN"/>
        </w:rPr>
        <w:t>2023年XX月XX日起至</w:t>
      </w:r>
      <w:r>
        <w:rPr>
          <w:rFonts w:hint="eastAsia" w:ascii="方正仿宋_GBK" w:hAnsi="方正仿宋_GBK" w:eastAsia="方正仿宋_GBK" w:cs="方正仿宋_GBK"/>
          <w:b w:val="0"/>
          <w:bCs/>
          <w:color w:val="000000"/>
          <w:sz w:val="32"/>
          <w:szCs w:val="32"/>
          <w:highlight w:val="none"/>
          <w:shd w:val="clear" w:color="auto" w:fill="auto"/>
        </w:rPr>
        <w:t>202</w:t>
      </w:r>
      <w:r>
        <w:rPr>
          <w:rFonts w:hint="eastAsia" w:ascii="方正仿宋_GBK" w:hAnsi="方正仿宋_GBK" w:eastAsia="方正仿宋_GBK" w:cs="方正仿宋_GBK"/>
          <w:b w:val="0"/>
          <w:bCs/>
          <w:color w:val="000000"/>
          <w:sz w:val="32"/>
          <w:szCs w:val="32"/>
          <w:highlight w:val="none"/>
          <w:shd w:val="clear" w:color="auto" w:fill="auto"/>
          <w:lang w:val="en-US" w:eastAsia="zh-CN"/>
        </w:rPr>
        <w:t>6</w:t>
      </w:r>
      <w:r>
        <w:rPr>
          <w:rFonts w:hint="eastAsia" w:ascii="方正仿宋_GBK" w:hAnsi="方正仿宋_GBK" w:eastAsia="方正仿宋_GBK" w:cs="方正仿宋_GBK"/>
          <w:b w:val="0"/>
          <w:bCs/>
          <w:color w:val="000000"/>
          <w:sz w:val="32"/>
          <w:szCs w:val="32"/>
          <w:highlight w:val="none"/>
          <w:shd w:val="clear" w:color="auto" w:fill="auto"/>
        </w:rPr>
        <w:t>年</w:t>
      </w:r>
      <w:r>
        <w:rPr>
          <w:rFonts w:hint="eastAsia" w:ascii="方正仿宋_GBK" w:hAnsi="方正仿宋_GBK" w:eastAsia="方正仿宋_GBK" w:cs="方正仿宋_GBK"/>
          <w:b w:val="0"/>
          <w:bCs/>
          <w:color w:val="000000"/>
          <w:sz w:val="32"/>
          <w:szCs w:val="32"/>
          <w:highlight w:val="none"/>
          <w:shd w:val="clear" w:color="auto" w:fill="auto"/>
          <w:lang w:val="en-US" w:eastAsia="zh-CN"/>
        </w:rPr>
        <w:t>XX</w:t>
      </w:r>
      <w:r>
        <w:rPr>
          <w:rFonts w:hint="eastAsia" w:ascii="方正仿宋_GBK" w:hAnsi="方正仿宋_GBK" w:eastAsia="方正仿宋_GBK" w:cs="方正仿宋_GBK"/>
          <w:b w:val="0"/>
          <w:bCs/>
          <w:color w:val="000000"/>
          <w:sz w:val="32"/>
          <w:szCs w:val="32"/>
          <w:highlight w:val="none"/>
          <w:shd w:val="clear" w:color="auto" w:fill="auto"/>
        </w:rPr>
        <w:t xml:space="preserve">月 </w:t>
      </w:r>
      <w:r>
        <w:rPr>
          <w:rFonts w:hint="eastAsia" w:ascii="方正仿宋_GBK" w:hAnsi="方正仿宋_GBK" w:eastAsia="方正仿宋_GBK" w:cs="方正仿宋_GBK"/>
          <w:b w:val="0"/>
          <w:bCs/>
          <w:color w:val="000000"/>
          <w:sz w:val="32"/>
          <w:szCs w:val="32"/>
          <w:highlight w:val="none"/>
          <w:shd w:val="clear" w:color="auto" w:fill="auto"/>
          <w:lang w:val="en-US" w:eastAsia="zh-CN"/>
        </w:rPr>
        <w:t>XX</w:t>
      </w:r>
      <w:r>
        <w:rPr>
          <w:rFonts w:hint="eastAsia" w:ascii="方正仿宋_GBK" w:hAnsi="方正仿宋_GBK" w:eastAsia="方正仿宋_GBK" w:cs="方正仿宋_GBK"/>
          <w:b w:val="0"/>
          <w:bCs/>
          <w:color w:val="000000"/>
          <w:sz w:val="32"/>
          <w:szCs w:val="32"/>
          <w:highlight w:val="none"/>
          <w:shd w:val="clear" w:color="auto" w:fill="auto"/>
        </w:rPr>
        <w:t>日</w:t>
      </w:r>
      <w:r>
        <w:rPr>
          <w:rFonts w:hint="eastAsia" w:ascii="方正仿宋_GBK" w:hAnsi="方正仿宋_GBK" w:eastAsia="方正仿宋_GBK" w:cs="方正仿宋_GBK"/>
          <w:b w:val="0"/>
          <w:bCs/>
          <w:color w:val="0000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三</w:t>
      </w:r>
      <w:r>
        <w:rPr>
          <w:rFonts w:hint="eastAsia" w:ascii="方正仿宋_GBK" w:hAnsi="方正仿宋_GBK" w:eastAsia="方正仿宋_GBK" w:cs="方正仿宋_GBK"/>
          <w:b/>
          <w:bCs w:val="0"/>
          <w:color w:val="000000"/>
          <w:sz w:val="32"/>
          <w:szCs w:val="32"/>
          <w:highlight w:val="none"/>
          <w:shd w:val="clear" w:color="auto" w:fill="auto"/>
        </w:rPr>
        <w:t>、合作内容及方式</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乙方为甲方提供服务的范围为</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rPr>
        <w:t>甲方重庆市辖内网点装修、网点维修类工程项目</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lang w:val="en-US" w:eastAsia="zh-CN"/>
        </w:rPr>
        <w:t>不含甲供材料或服务类项目</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甲方装修项目采用</w:t>
      </w:r>
      <w:r>
        <w:rPr>
          <w:rFonts w:hint="eastAsia" w:ascii="方正仿宋_GBK" w:hAnsi="方正仿宋_GBK" w:eastAsia="方正仿宋_GBK" w:cs="方正仿宋_GBK"/>
          <w:b w:val="0"/>
          <w:bCs/>
          <w:color w:val="000000"/>
          <w:sz w:val="32"/>
          <w:szCs w:val="32"/>
          <w:highlight w:val="none"/>
          <w:shd w:val="clear" w:color="auto" w:fill="auto"/>
          <w:lang w:val="en-US" w:eastAsia="zh-CN"/>
        </w:rPr>
        <w:t>部分</w:t>
      </w:r>
      <w:r>
        <w:rPr>
          <w:rFonts w:hint="eastAsia" w:ascii="方正仿宋_GBK" w:hAnsi="方正仿宋_GBK" w:eastAsia="方正仿宋_GBK" w:cs="方正仿宋_GBK"/>
          <w:b w:val="0"/>
          <w:bCs/>
          <w:color w:val="000000"/>
          <w:sz w:val="32"/>
          <w:szCs w:val="32"/>
          <w:highlight w:val="none"/>
          <w:shd w:val="clear" w:color="auto" w:fill="auto"/>
        </w:rPr>
        <w:t>材料</w:t>
      </w:r>
      <w:r>
        <w:rPr>
          <w:rFonts w:hint="eastAsia" w:ascii="方正仿宋_GBK" w:hAnsi="方正仿宋_GBK" w:eastAsia="方正仿宋_GBK" w:cs="方正仿宋_GBK"/>
          <w:b w:val="0"/>
          <w:bCs/>
          <w:color w:val="000000"/>
          <w:sz w:val="32"/>
          <w:szCs w:val="32"/>
          <w:highlight w:val="none"/>
          <w:shd w:val="clear" w:color="auto" w:fill="auto"/>
          <w:lang w:val="en-US" w:eastAsia="zh-CN"/>
        </w:rPr>
        <w:t>和服务</w:t>
      </w:r>
      <w:r>
        <w:rPr>
          <w:rFonts w:hint="eastAsia" w:ascii="方正仿宋_GBK" w:hAnsi="方正仿宋_GBK" w:eastAsia="方正仿宋_GBK" w:cs="方正仿宋_GBK"/>
          <w:b w:val="0"/>
          <w:bCs/>
          <w:color w:val="000000"/>
          <w:sz w:val="32"/>
          <w:szCs w:val="32"/>
          <w:highlight w:val="none"/>
          <w:shd w:val="clear" w:color="auto" w:fill="auto"/>
        </w:rPr>
        <w:t>甲供的方式实施,甲供材料</w:t>
      </w:r>
      <w:r>
        <w:rPr>
          <w:rFonts w:hint="eastAsia" w:ascii="方正仿宋_GBK" w:hAnsi="方正仿宋_GBK" w:eastAsia="方正仿宋_GBK" w:cs="方正仿宋_GBK"/>
          <w:b w:val="0"/>
          <w:bCs/>
          <w:color w:val="000000"/>
          <w:sz w:val="32"/>
          <w:szCs w:val="32"/>
          <w:highlight w:val="none"/>
          <w:shd w:val="clear" w:color="auto" w:fill="auto"/>
          <w:lang w:val="en-US" w:eastAsia="zh-CN"/>
        </w:rPr>
        <w:t>和服务</w:t>
      </w:r>
      <w:r>
        <w:rPr>
          <w:rFonts w:hint="eastAsia" w:ascii="方正仿宋_GBK" w:hAnsi="方正仿宋_GBK" w:eastAsia="方正仿宋_GBK" w:cs="方正仿宋_GBK"/>
          <w:b w:val="0"/>
          <w:bCs/>
          <w:color w:val="000000"/>
          <w:sz w:val="32"/>
          <w:szCs w:val="32"/>
          <w:highlight w:val="none"/>
          <w:shd w:val="clear" w:color="auto" w:fill="auto"/>
        </w:rPr>
        <w:t>的种类有空调、</w:t>
      </w:r>
      <w:r>
        <w:rPr>
          <w:rFonts w:hint="eastAsia" w:ascii="方正仿宋_GBK" w:hAnsi="方正仿宋_GBK" w:eastAsia="方正仿宋_GBK" w:cs="方正仿宋_GBK"/>
          <w:b w:val="0"/>
          <w:bCs/>
          <w:color w:val="000000"/>
          <w:sz w:val="32"/>
          <w:szCs w:val="32"/>
          <w:highlight w:val="none"/>
          <w:shd w:val="clear" w:color="auto" w:fill="auto"/>
          <w:lang w:eastAsia="zh-CN"/>
        </w:rPr>
        <w:t>部分装修主材（如</w:t>
      </w:r>
      <w:r>
        <w:rPr>
          <w:rFonts w:hint="eastAsia" w:ascii="方正仿宋_GBK" w:hAnsi="方正仿宋_GBK" w:eastAsia="方正仿宋_GBK" w:cs="方正仿宋_GBK"/>
          <w:b w:val="0"/>
          <w:bCs/>
          <w:color w:val="000000"/>
          <w:sz w:val="32"/>
          <w:szCs w:val="32"/>
          <w:highlight w:val="none"/>
          <w:shd w:val="clear" w:color="auto" w:fill="auto"/>
        </w:rPr>
        <w:t>墙地砖</w:t>
      </w:r>
      <w:r>
        <w:rPr>
          <w:rFonts w:hint="eastAsia" w:ascii="方正仿宋_GBK" w:hAnsi="方正仿宋_GBK" w:eastAsia="方正仿宋_GBK" w:cs="方正仿宋_GBK"/>
          <w:b w:val="0"/>
          <w:bCs/>
          <w:color w:val="000000"/>
          <w:sz w:val="32"/>
          <w:szCs w:val="32"/>
          <w:highlight w:val="none"/>
          <w:shd w:val="clear" w:color="auto" w:fill="auto"/>
          <w:lang w:eastAsia="zh-CN"/>
        </w:rPr>
        <w:t>等）</w:t>
      </w:r>
      <w:r>
        <w:rPr>
          <w:rFonts w:hint="eastAsia" w:ascii="方正仿宋_GBK" w:hAnsi="方正仿宋_GBK" w:eastAsia="方正仿宋_GBK" w:cs="方正仿宋_GBK"/>
          <w:b w:val="0"/>
          <w:bCs/>
          <w:color w:val="000000"/>
          <w:sz w:val="32"/>
          <w:szCs w:val="32"/>
          <w:highlight w:val="none"/>
          <w:shd w:val="clear" w:color="auto" w:fill="auto"/>
        </w:rPr>
        <w:t>、弱电、技防设施、物防设施、</w:t>
      </w:r>
      <w:r>
        <w:rPr>
          <w:rFonts w:hint="eastAsia" w:ascii="方正仿宋_GBK" w:hAnsi="方正仿宋_GBK" w:eastAsia="方正仿宋_GBK" w:cs="方正仿宋_GBK"/>
          <w:b w:val="0"/>
          <w:bCs/>
          <w:color w:val="000000"/>
          <w:sz w:val="32"/>
          <w:szCs w:val="32"/>
          <w:highlight w:val="none"/>
          <w:shd w:val="clear" w:color="auto" w:fill="auto"/>
          <w:lang w:eastAsia="zh-CN"/>
        </w:rPr>
        <w:t>消防设施、</w:t>
      </w:r>
      <w:r>
        <w:rPr>
          <w:rFonts w:hint="eastAsia" w:ascii="方正仿宋_GBK" w:hAnsi="方正仿宋_GBK" w:eastAsia="方正仿宋_GBK" w:cs="方正仿宋_GBK"/>
          <w:b w:val="0"/>
          <w:bCs/>
          <w:color w:val="000000"/>
          <w:sz w:val="32"/>
          <w:szCs w:val="32"/>
          <w:highlight w:val="none"/>
          <w:shd w:val="clear" w:color="auto" w:fill="auto"/>
        </w:rPr>
        <w:t>办公家具、广告、各种智能设备、窗帘</w:t>
      </w:r>
      <w:r>
        <w:rPr>
          <w:rFonts w:hint="eastAsia" w:ascii="方正仿宋_GBK" w:hAnsi="方正仿宋_GBK" w:eastAsia="方正仿宋_GBK" w:cs="方正仿宋_GBK"/>
          <w:b w:val="0"/>
          <w:bCs/>
          <w:color w:val="000000"/>
          <w:sz w:val="32"/>
          <w:szCs w:val="32"/>
          <w:highlight w:val="none"/>
          <w:shd w:val="clear" w:color="auto" w:fill="auto"/>
          <w:lang w:val="en-US" w:eastAsia="zh-CN"/>
        </w:rPr>
        <w:t>和</w:t>
      </w:r>
      <w:r>
        <w:rPr>
          <w:rFonts w:hint="eastAsia" w:ascii="方正仿宋_GBK" w:hAnsi="方正仿宋_GBK" w:eastAsia="方正仿宋_GBK" w:cs="方正仿宋_GBK"/>
          <w:b w:val="0"/>
          <w:bCs/>
          <w:color w:val="000000"/>
          <w:sz w:val="32"/>
          <w:szCs w:val="32"/>
          <w:highlight w:val="none"/>
          <w:shd w:val="clear" w:color="auto" w:fill="auto"/>
        </w:rPr>
        <w:t>空气治理等</w:t>
      </w:r>
      <w:r>
        <w:rPr>
          <w:rFonts w:hint="eastAsia" w:ascii="方正仿宋_GBK" w:hAnsi="方正仿宋_GBK" w:eastAsia="方正仿宋_GBK" w:cs="方正仿宋_GBK"/>
          <w:b w:val="0"/>
          <w:bCs/>
          <w:color w:val="000000"/>
          <w:sz w:val="32"/>
          <w:szCs w:val="32"/>
          <w:highlight w:val="none"/>
          <w:shd w:val="clear" w:color="auto" w:fill="auto"/>
          <w:lang w:eastAsia="zh-CN"/>
        </w:rPr>
        <w:t>，具体以甲方要求为准</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（一）乙方为甲方工程供应商</w:t>
      </w:r>
      <w:r>
        <w:rPr>
          <w:rFonts w:hint="eastAsia" w:ascii="方正仿宋_GBK" w:hAnsi="方正仿宋_GBK" w:eastAsia="方正仿宋_GBK" w:cs="方正仿宋_GBK"/>
          <w:b w:val="0"/>
          <w:bCs/>
          <w:color w:val="000000"/>
          <w:sz w:val="32"/>
          <w:szCs w:val="32"/>
          <w:highlight w:val="none"/>
          <w:shd w:val="clear" w:color="auto" w:fill="auto"/>
          <w:lang w:val="en-US" w:eastAsia="zh-CN"/>
        </w:rPr>
        <w:t>A库</w:t>
      </w:r>
      <w:r>
        <w:rPr>
          <w:rFonts w:hint="eastAsia" w:ascii="方正仿宋_GBK" w:hAnsi="方正仿宋_GBK" w:eastAsia="方正仿宋_GBK" w:cs="方正仿宋_GBK"/>
          <w:b w:val="0"/>
          <w:bCs/>
          <w:color w:val="000000"/>
          <w:sz w:val="32"/>
          <w:szCs w:val="32"/>
          <w:highlight w:val="none"/>
          <w:shd w:val="clear" w:color="auto" w:fill="auto"/>
        </w:rPr>
        <w:t>入库企业，适用于纳入甲方集中采购目录，</w:t>
      </w:r>
      <w:r>
        <w:rPr>
          <w:rFonts w:hint="eastAsia" w:ascii="方正仿宋_GBK" w:hAnsi="方正仿宋_GBK" w:eastAsia="方正仿宋_GBK" w:cs="方正仿宋_GBK"/>
          <w:color w:val="000000"/>
          <w:sz w:val="32"/>
          <w:szCs w:val="32"/>
          <w:highlight w:val="none"/>
        </w:rPr>
        <w:t>装修项目预算在50万元（含）至400万元（不含）范围内的工程项目</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319" w:leftChars="152" w:right="0" w:rightChars="0" w:firstLine="320" w:firstLineChars="1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lang w:val="en-US" w:eastAsia="zh-CN"/>
        </w:rPr>
        <w:t>二</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rPr>
        <w:t>乙方为甲方工程供应商</w:t>
      </w:r>
      <w:r>
        <w:rPr>
          <w:rFonts w:hint="eastAsia" w:ascii="方正仿宋_GBK" w:hAnsi="方正仿宋_GBK" w:eastAsia="方正仿宋_GBK" w:cs="方正仿宋_GBK"/>
          <w:b w:val="0"/>
          <w:bCs/>
          <w:color w:val="000000"/>
          <w:sz w:val="32"/>
          <w:szCs w:val="32"/>
          <w:highlight w:val="none"/>
          <w:shd w:val="clear" w:color="auto" w:fill="auto"/>
          <w:lang w:val="en-US" w:eastAsia="zh-CN"/>
        </w:rPr>
        <w:t>A库</w:t>
      </w:r>
      <w:r>
        <w:rPr>
          <w:rFonts w:hint="eastAsia" w:ascii="方正仿宋_GBK" w:hAnsi="方正仿宋_GBK" w:eastAsia="方正仿宋_GBK" w:cs="方正仿宋_GBK"/>
          <w:b w:val="0"/>
          <w:bCs/>
          <w:color w:val="000000"/>
          <w:sz w:val="32"/>
          <w:szCs w:val="32"/>
          <w:highlight w:val="none"/>
          <w:shd w:val="clear" w:color="auto" w:fill="auto"/>
        </w:rPr>
        <w:t>入库企业，</w:t>
      </w:r>
      <w:r>
        <w:rPr>
          <w:rFonts w:hint="eastAsia" w:ascii="方正仿宋_GBK" w:hAnsi="方正仿宋_GBK" w:eastAsia="方正仿宋_GBK" w:cs="方正仿宋_GBK"/>
          <w:b w:val="0"/>
          <w:bCs/>
          <w:color w:val="000000"/>
          <w:sz w:val="32"/>
          <w:szCs w:val="32"/>
          <w:highlight w:val="none"/>
          <w:shd w:val="clear" w:color="auto" w:fill="auto"/>
          <w:lang w:eastAsia="zh-CN"/>
        </w:rPr>
        <w:t>乙方</w:t>
      </w:r>
      <w:r>
        <w:rPr>
          <w:rFonts w:hint="eastAsia" w:ascii="方正仿宋_GBK" w:hAnsi="方正仿宋_GBK" w:eastAsia="方正仿宋_GBK" w:cs="方正仿宋_GBK"/>
          <w:b w:val="0"/>
          <w:bCs/>
          <w:color w:val="000000"/>
          <w:sz w:val="32"/>
          <w:szCs w:val="32"/>
          <w:highlight w:val="none"/>
          <w:shd w:val="clear" w:color="auto" w:fill="auto"/>
          <w:lang w:val="en-US" w:eastAsia="zh-CN"/>
        </w:rPr>
        <w:t>不得再参与甲方其他工程项目供应商备选库（包括总行工程项目供应商备选库A、B库及各异地分行B库</w:t>
      </w:r>
      <w:r>
        <w:rPr>
          <w:rFonts w:hint="eastAsia" w:ascii="方正仿宋_GBK" w:hAnsi="方正仿宋_GBK" w:eastAsia="方正仿宋_GBK" w:cs="方正仿宋_GBK"/>
          <w:b w:val="0"/>
          <w:bCs/>
          <w:color w:val="000000"/>
          <w:sz w:val="32"/>
          <w:szCs w:val="32"/>
          <w:highlight w:val="none"/>
          <w:shd w:val="clear" w:color="auto" w:fill="auto"/>
          <w:lang w:eastAsia="zh-CN"/>
        </w:rPr>
        <w:t>）的入库招标。</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val="en-US"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（三）</w:t>
      </w:r>
      <w:r>
        <w:rPr>
          <w:rFonts w:hint="eastAsia" w:ascii="方正仿宋_GBK" w:hAnsi="方正仿宋_GBK" w:eastAsia="方正仿宋_GBK" w:cs="方正仿宋_GBK"/>
          <w:b w:val="0"/>
          <w:bCs/>
          <w:color w:val="000000"/>
          <w:sz w:val="32"/>
          <w:szCs w:val="32"/>
          <w:highlight w:val="none"/>
          <w:shd w:val="clear" w:color="auto" w:fill="auto"/>
        </w:rPr>
        <w:t>单个工程装修项目采购需求发生时，由甲方需求部门在入围供应商库中</w:t>
      </w:r>
      <w:r>
        <w:rPr>
          <w:rFonts w:hint="eastAsia" w:ascii="方正仿宋_GBK" w:hAnsi="方正仿宋_GBK" w:eastAsia="方正仿宋_GBK" w:cs="方正仿宋_GBK"/>
          <w:b w:val="0"/>
          <w:bCs/>
          <w:color w:val="000000"/>
          <w:sz w:val="32"/>
          <w:szCs w:val="32"/>
          <w:highlight w:val="none"/>
          <w:shd w:val="clear" w:color="auto" w:fill="auto"/>
          <w:lang w:eastAsia="zh-CN"/>
        </w:rPr>
        <w:t>选取全部</w:t>
      </w:r>
      <w:r>
        <w:rPr>
          <w:rFonts w:hint="eastAsia" w:ascii="方正仿宋_GBK" w:hAnsi="方正仿宋_GBK" w:eastAsia="方正仿宋_GBK" w:cs="方正仿宋_GBK"/>
          <w:b w:val="0"/>
          <w:bCs/>
          <w:color w:val="000000"/>
          <w:sz w:val="32"/>
          <w:szCs w:val="32"/>
          <w:highlight w:val="none"/>
          <w:shd w:val="clear" w:color="auto" w:fill="auto"/>
        </w:rPr>
        <w:t>供应商，按照集中采购流程组织采购，采用</w:t>
      </w:r>
      <w:r>
        <w:rPr>
          <w:rFonts w:hint="eastAsia" w:ascii="方正仿宋_GBK" w:hAnsi="方正仿宋_GBK" w:eastAsia="方正仿宋_GBK" w:cs="方正仿宋_GBK"/>
          <w:b w:val="0"/>
          <w:bCs/>
          <w:color w:val="000000"/>
          <w:sz w:val="32"/>
          <w:szCs w:val="32"/>
          <w:highlight w:val="none"/>
          <w:shd w:val="clear" w:color="auto" w:fill="auto"/>
          <w:lang w:eastAsia="zh-CN"/>
        </w:rPr>
        <w:t>经评审的</w:t>
      </w:r>
      <w:r>
        <w:rPr>
          <w:rFonts w:hint="eastAsia" w:ascii="方正仿宋_GBK" w:hAnsi="方正仿宋_GBK" w:eastAsia="方正仿宋_GBK" w:cs="方正仿宋_GBK"/>
          <w:b w:val="0"/>
          <w:bCs/>
          <w:color w:val="000000"/>
          <w:sz w:val="32"/>
          <w:szCs w:val="32"/>
          <w:highlight w:val="none"/>
          <w:shd w:val="clear" w:color="auto" w:fill="auto"/>
        </w:rPr>
        <w:t>最低价法进行竞争性谈判或磋商。</w:t>
      </w:r>
      <w:r>
        <w:rPr>
          <w:rFonts w:hint="eastAsia" w:ascii="方正仿宋_GBK" w:hAnsi="方正仿宋_GBK" w:eastAsia="方正仿宋_GBK" w:cs="方正仿宋_GBK"/>
          <w:b w:val="0"/>
          <w:bCs/>
          <w:color w:val="000000"/>
          <w:sz w:val="32"/>
          <w:szCs w:val="32"/>
          <w:highlight w:val="none"/>
          <w:shd w:val="clear" w:color="auto" w:fill="auto"/>
          <w:lang w:eastAsia="zh-CN"/>
        </w:rPr>
        <w:t>单个工程项目投标报价方式原则上采用全风险总价包干方式。</w:t>
      </w:r>
      <w:r>
        <w:rPr>
          <w:rFonts w:hint="eastAsia" w:ascii="方正仿宋_GBK" w:hAnsi="方正仿宋_GBK" w:eastAsia="方正仿宋_GBK" w:cs="方正仿宋_GBK"/>
          <w:b w:val="0"/>
          <w:bCs/>
          <w:color w:val="000000"/>
          <w:sz w:val="32"/>
          <w:szCs w:val="32"/>
          <w:highlight w:val="none"/>
          <w:shd w:val="clear" w:color="auto" w:fill="auto"/>
        </w:rPr>
        <w:t>装修项目设计单位不得同时作为该项目</w:t>
      </w:r>
      <w:r>
        <w:rPr>
          <w:rFonts w:hint="eastAsia" w:ascii="方正仿宋_GBK" w:hAnsi="方正仿宋_GBK" w:eastAsia="方正仿宋_GBK" w:cs="方正仿宋_GBK"/>
          <w:b w:val="0"/>
          <w:bCs/>
          <w:color w:val="000000"/>
          <w:sz w:val="32"/>
          <w:szCs w:val="32"/>
          <w:highlight w:val="none"/>
          <w:shd w:val="clear" w:color="auto" w:fill="auto"/>
          <w:lang w:eastAsia="zh-CN"/>
        </w:rPr>
        <w:t>投标</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27" w:firstLineChars="196"/>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（四）</w:t>
      </w:r>
      <w:r>
        <w:rPr>
          <w:rFonts w:hint="eastAsia" w:ascii="方正仿宋_GBK" w:hAnsi="方正仿宋_GBK" w:eastAsia="方正仿宋_GBK" w:cs="方正仿宋_GBK"/>
          <w:b w:val="0"/>
          <w:bCs/>
          <w:color w:val="000000"/>
          <w:sz w:val="32"/>
          <w:szCs w:val="32"/>
          <w:highlight w:val="none"/>
          <w:shd w:val="clear" w:color="auto" w:fill="auto"/>
        </w:rPr>
        <w:t>乙方对甲方按本框架协议中内容发出的所有工程邀请，</w:t>
      </w:r>
      <w:r>
        <w:rPr>
          <w:rFonts w:hint="eastAsia" w:ascii="方正仿宋_GBK" w:hAnsi="方正仿宋_GBK" w:eastAsia="方正仿宋_GBK" w:cs="方正仿宋_GBK"/>
          <w:b w:val="0"/>
          <w:bCs/>
          <w:color w:val="000000"/>
          <w:sz w:val="32"/>
          <w:szCs w:val="32"/>
          <w:highlight w:val="none"/>
          <w:shd w:val="clear" w:color="auto" w:fill="auto"/>
          <w:lang w:eastAsia="zh-CN"/>
        </w:rPr>
        <w:t>应</w:t>
      </w:r>
      <w:r>
        <w:rPr>
          <w:rFonts w:hint="eastAsia" w:ascii="方正仿宋_GBK" w:hAnsi="方正仿宋_GBK" w:eastAsia="方正仿宋_GBK" w:cs="方正仿宋_GBK"/>
          <w:b w:val="0"/>
          <w:bCs/>
          <w:color w:val="000000"/>
          <w:sz w:val="32"/>
          <w:szCs w:val="32"/>
          <w:highlight w:val="none"/>
          <w:shd w:val="clear" w:color="auto" w:fill="auto"/>
        </w:rPr>
        <w:t>积极</w:t>
      </w:r>
      <w:r>
        <w:rPr>
          <w:rFonts w:hint="eastAsia" w:ascii="方正仿宋_GBK" w:hAnsi="方正仿宋_GBK" w:eastAsia="方正仿宋_GBK" w:cs="方正仿宋_GBK"/>
          <w:b w:val="0"/>
          <w:bCs/>
          <w:color w:val="000000"/>
          <w:sz w:val="32"/>
          <w:szCs w:val="32"/>
          <w:highlight w:val="none"/>
          <w:shd w:val="clear" w:color="auto" w:fill="auto"/>
          <w:lang w:eastAsia="zh-CN"/>
        </w:rPr>
        <w:t>参与竞标，</w:t>
      </w:r>
      <w:r>
        <w:rPr>
          <w:rFonts w:hint="eastAsia" w:ascii="方正仿宋_GBK" w:hAnsi="方正仿宋_GBK" w:eastAsia="方正仿宋_GBK" w:cs="方正仿宋_GBK"/>
          <w:color w:val="000000"/>
          <w:sz w:val="32"/>
          <w:szCs w:val="32"/>
          <w:highlight w:val="none"/>
          <w:shd w:val="clear" w:color="auto" w:fill="auto"/>
        </w:rPr>
        <w:t>2次拒不响应竞标的</w:t>
      </w:r>
      <w:r>
        <w:rPr>
          <w:rFonts w:hint="eastAsia" w:ascii="方正仿宋_GBK" w:hAnsi="方正仿宋_GBK" w:eastAsia="方正仿宋_GBK" w:cs="方正仿宋_GBK"/>
          <w:color w:val="000000"/>
          <w:sz w:val="32"/>
          <w:szCs w:val="32"/>
          <w:highlight w:val="none"/>
          <w:shd w:val="clear" w:color="auto" w:fill="auto"/>
          <w:lang w:eastAsia="zh-CN"/>
        </w:rPr>
        <w:t>，甲方有权按照本协议第六条约定将乙方</w:t>
      </w:r>
      <w:r>
        <w:rPr>
          <w:rFonts w:hint="eastAsia" w:ascii="方正仿宋_GBK" w:hAnsi="方正仿宋_GBK" w:eastAsia="方正仿宋_GBK" w:cs="方正仿宋_GBK"/>
          <w:b w:val="0"/>
          <w:bCs/>
          <w:color w:val="000000"/>
          <w:sz w:val="32"/>
          <w:szCs w:val="32"/>
          <w:highlight w:val="none"/>
          <w:shd w:val="clear" w:color="auto" w:fill="auto"/>
        </w:rPr>
        <w:t>列入禁用名单，并按此协议优先妥善安排相关事宜。就达成具体合作意向的项目，在服务过程中双方按本框架协议中的相关条款认真严格执行。</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四、</w:t>
      </w:r>
      <w:r>
        <w:rPr>
          <w:rFonts w:hint="eastAsia" w:ascii="方正仿宋_GBK" w:hAnsi="方正仿宋_GBK" w:eastAsia="方正仿宋_GBK" w:cs="方正仿宋_GBK"/>
          <w:b/>
          <w:bCs w:val="0"/>
          <w:color w:val="000000"/>
          <w:sz w:val="32"/>
          <w:szCs w:val="32"/>
          <w:highlight w:val="none"/>
          <w:shd w:val="clear" w:color="auto" w:fill="auto"/>
        </w:rPr>
        <w:t>服务人员资质要求</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（一）乙方必须配备甲方项目服务团队，人员构成包括但不限于项目负责人、技术负责人、施工员、安全员、材料员、造价员和质检员等，所有团队人员须具有乙方为其缴纳的所在地的有效养老保险缴费记录。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（二）乙方配备的项目负责人必须具有工程师中级（含）以上职称及建筑工程专业注册建造师</w:t>
      </w:r>
      <w:r>
        <w:rPr>
          <w:rFonts w:hint="eastAsia" w:ascii="方正仿宋_GBK" w:hAnsi="方正仿宋_GBK" w:eastAsia="方正仿宋_GBK" w:cs="方正仿宋_GBK"/>
          <w:b w:val="0"/>
          <w:bCs/>
          <w:color w:val="0000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（三）乙方项目</w:t>
      </w:r>
      <w:r>
        <w:rPr>
          <w:rFonts w:hint="eastAsia" w:ascii="方正仿宋_GBK" w:hAnsi="方正仿宋_GBK" w:eastAsia="方正仿宋_GBK" w:cs="方正仿宋_GBK"/>
          <w:color w:val="000000"/>
          <w:sz w:val="32"/>
          <w:szCs w:val="32"/>
          <w:highlight w:val="none"/>
        </w:rPr>
        <w:t>负责人必须具有建筑工程专业注册建造师执业资格证（已注册），并具有（2019年-2022年）</w:t>
      </w:r>
      <w:r>
        <w:rPr>
          <w:rFonts w:hint="eastAsia" w:ascii="方正仿宋_GBK" w:hAnsi="方正仿宋_GBK" w:eastAsia="方正仿宋_GBK" w:cs="方正仿宋_GBK"/>
          <w:b w:val="0"/>
          <w:bCs/>
          <w:color w:val="000000"/>
          <w:sz w:val="32"/>
          <w:szCs w:val="32"/>
          <w:highlight w:val="none"/>
          <w:shd w:val="clear" w:color="auto" w:fill="auto"/>
        </w:rPr>
        <w:t>至少2项合同金额在100万元（含）以上装饰装修工程施工业绩。</w:t>
      </w:r>
      <w:r>
        <w:rPr>
          <w:rFonts w:hint="eastAsia" w:ascii="方正仿宋_GBK" w:hAnsi="方正仿宋_GBK" w:eastAsia="方正仿宋_GBK" w:cs="方正仿宋_GBK"/>
          <w:color w:val="000000"/>
          <w:sz w:val="32"/>
          <w:szCs w:val="32"/>
          <w:highlight w:val="none"/>
        </w:rPr>
        <w:t>提供证书复印件和合同复印件并加盖公章。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（四）服务团队其</w:t>
      </w:r>
      <w:r>
        <w:rPr>
          <w:rFonts w:hint="eastAsia" w:ascii="方正仿宋_GBK" w:hAnsi="方正仿宋_GBK" w:eastAsia="方正仿宋_GBK" w:cs="方正仿宋_GBK"/>
          <w:color w:val="000000"/>
          <w:sz w:val="32"/>
          <w:szCs w:val="32"/>
          <w:highlight w:val="none"/>
        </w:rPr>
        <w:t>其他人员中施工员、安全员和造价员（造价师）应具有与其岗位相匹配的从业资格证书，须提供相应证书（施工员证、安全员证、造价员（师）证）复印件加盖公章。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五</w:t>
      </w:r>
      <w:r>
        <w:rPr>
          <w:rFonts w:hint="eastAsia" w:ascii="方正仿宋_GBK" w:hAnsi="方正仿宋_GBK" w:eastAsia="方正仿宋_GBK" w:cs="方正仿宋_GBK"/>
          <w:b/>
          <w:bCs w:val="0"/>
          <w:color w:val="000000"/>
          <w:sz w:val="32"/>
          <w:szCs w:val="32"/>
          <w:highlight w:val="none"/>
          <w:shd w:val="clear" w:color="auto" w:fill="auto"/>
        </w:rPr>
        <w:t>、双方的权利与义务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（一）甲方有权利对乙方进行全方位考察。</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（二）在合作过程中，甲方有权要求乙方更换不合格的技术人员，乙方应积极配合，重新推荐合格人员。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（三）乙方视甲方为重点客户，就具体合作项目为甲方提供全方位的服务。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（四）乙方承诺专门针对甲方组建合适的管理团队、配备充足的人员，充分满足甲方大规模的工程建设任务和确保甲方紧凑的建设进度。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（五）未经甲方同意，乙方不得将本合同项下服务转包或变相转包。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六）乙方保证其拥有从事本项目工作的资质及能力，并保证不会侵犯任何第三方知识产权，若因此发生任何争议、侵权，均应当由乙方独自承担全部责任，包括但不限于应当承担其自身及甲方为排除任何争议及/或瑕疵所应当或所需要支付的一些相关及/或由此引起的费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（七）因乙方原因导致工程出现质量问题或验收不合格，乙方应当负责返修，且返工费用由乙方承担。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（八）因履行本合同而产生的安全保障义务由乙方承担。</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（九）乙方不得侵犯甲方商誉，未经甲方同意不得使用甲方合法所有的知识产权（包括但不限于商标等），由此造成的一切损失由乙方承担赔偿责任。</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（十）乙方应按照与甲方约定的时间完成各项工作。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color w:val="000000"/>
          <w:sz w:val="32"/>
          <w:szCs w:val="32"/>
          <w:highlight w:val="none"/>
        </w:rPr>
        <w:t>（十一）乙方在为甲方服务期间须严格保守甲方的资料、数据、经营机密，如因乙方原因泄密，乙方须承担相应责任；甲方声明须归还的资料文件乙方用后必须及时归还。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六</w:t>
      </w:r>
      <w:r>
        <w:rPr>
          <w:rFonts w:hint="eastAsia" w:ascii="方正仿宋_GBK" w:hAnsi="方正仿宋_GBK" w:eastAsia="方正仿宋_GBK" w:cs="方正仿宋_GBK"/>
          <w:b/>
          <w:bCs w:val="0"/>
          <w:color w:val="000000"/>
          <w:sz w:val="32"/>
          <w:szCs w:val="32"/>
          <w:highlight w:val="none"/>
          <w:shd w:val="clear" w:color="auto" w:fill="auto"/>
        </w:rPr>
        <w:t>、禁用情形</w:t>
      </w:r>
    </w:p>
    <w:p>
      <w:pPr>
        <w:spacing w:line="600" w:lineRule="exact"/>
        <w:ind w:firstLine="672"/>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乙方出现下列情形时，</w:t>
      </w:r>
      <w:r>
        <w:rPr>
          <w:rFonts w:hint="eastAsia" w:ascii="方正仿宋_GBK" w:hAnsi="方正仿宋_GBK" w:eastAsia="方正仿宋_GBK" w:cs="方正仿宋_GBK"/>
          <w:b w:val="0"/>
          <w:bCs/>
          <w:color w:val="000000"/>
          <w:sz w:val="32"/>
          <w:szCs w:val="32"/>
          <w:highlight w:val="none"/>
          <w:shd w:val="clear" w:color="auto" w:fill="auto"/>
          <w:lang w:eastAsia="zh-CN"/>
        </w:rPr>
        <w:t>甲方有权将乙方</w:t>
      </w:r>
      <w:r>
        <w:rPr>
          <w:rFonts w:hint="eastAsia" w:ascii="方正仿宋_GBK" w:hAnsi="方正仿宋_GBK" w:eastAsia="方正仿宋_GBK" w:cs="方正仿宋_GBK"/>
          <w:b w:val="0"/>
          <w:bCs/>
          <w:color w:val="000000"/>
          <w:sz w:val="32"/>
          <w:szCs w:val="32"/>
          <w:highlight w:val="none"/>
          <w:shd w:val="clear" w:color="auto" w:fill="auto"/>
        </w:rPr>
        <w:t>列入禁用名单</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b w:val="0"/>
          <w:bCs/>
          <w:color w:val="000000"/>
          <w:sz w:val="32"/>
          <w:szCs w:val="32"/>
          <w:highlight w:val="none"/>
          <w:shd w:val="clear" w:color="auto" w:fill="auto"/>
        </w:rPr>
        <w:t>禁用期为1年，禁用期</w:t>
      </w:r>
      <w:r>
        <w:rPr>
          <w:rFonts w:hint="eastAsia" w:ascii="方正仿宋_GBK" w:hAnsi="方正仿宋_GBK" w:eastAsia="方正仿宋_GBK" w:cs="方正仿宋_GBK"/>
          <w:b w:val="0"/>
          <w:bCs/>
          <w:color w:val="000000"/>
          <w:sz w:val="32"/>
          <w:szCs w:val="32"/>
          <w:highlight w:val="none"/>
          <w:shd w:val="clear" w:color="auto" w:fill="auto"/>
          <w:lang w:eastAsia="zh-CN"/>
        </w:rPr>
        <w:t>内暂停乙方投标资格。</w:t>
      </w:r>
      <w:r>
        <w:rPr>
          <w:rFonts w:hint="eastAsia" w:ascii="方正仿宋_GBK" w:hAnsi="方正仿宋_GBK" w:eastAsia="方正仿宋_GBK" w:cs="方正仿宋_GBK"/>
          <w:b w:val="0"/>
          <w:bCs/>
          <w:color w:val="000000"/>
          <w:sz w:val="32"/>
          <w:szCs w:val="32"/>
          <w:highlight w:val="none"/>
          <w:shd w:val="clear" w:color="auto" w:fill="auto"/>
        </w:rPr>
        <w:t>乙方禁用期到期</w:t>
      </w:r>
      <w:r>
        <w:rPr>
          <w:rFonts w:hint="eastAsia" w:ascii="方正仿宋_GBK" w:hAnsi="方正仿宋_GBK" w:eastAsia="方正仿宋_GBK" w:cs="方正仿宋_GBK"/>
          <w:b w:val="0"/>
          <w:bCs/>
          <w:color w:val="000000"/>
          <w:sz w:val="32"/>
          <w:szCs w:val="32"/>
          <w:highlight w:val="none"/>
          <w:shd w:val="clear" w:color="auto" w:fill="auto"/>
          <w:lang w:eastAsia="zh-CN"/>
        </w:rPr>
        <w:t>后，由甲方对乙方进行</w:t>
      </w:r>
      <w:r>
        <w:rPr>
          <w:rFonts w:hint="eastAsia" w:ascii="方正仿宋_GBK" w:hAnsi="方正仿宋_GBK" w:eastAsia="方正仿宋_GBK" w:cs="方正仿宋_GBK"/>
          <w:b w:val="0"/>
          <w:bCs/>
          <w:color w:val="000000"/>
          <w:sz w:val="32"/>
          <w:szCs w:val="32"/>
          <w:highlight w:val="none"/>
          <w:shd w:val="clear" w:color="auto" w:fill="auto"/>
        </w:rPr>
        <w:t>重新评估</w:t>
      </w:r>
      <w:r>
        <w:rPr>
          <w:rFonts w:hint="eastAsia" w:ascii="方正仿宋_GBK" w:hAnsi="方正仿宋_GBK" w:eastAsia="方正仿宋_GBK" w:cs="方正仿宋_GBK"/>
          <w:b w:val="0"/>
          <w:bCs/>
          <w:color w:val="000000"/>
          <w:sz w:val="32"/>
          <w:szCs w:val="32"/>
          <w:highlight w:val="none"/>
          <w:shd w:val="clear" w:color="auto" w:fill="auto"/>
          <w:lang w:eastAsia="zh-CN"/>
        </w:rPr>
        <w:t>，根据评估结果</w:t>
      </w:r>
      <w:r>
        <w:rPr>
          <w:rFonts w:hint="eastAsia" w:ascii="方正仿宋_GBK" w:hAnsi="方正仿宋_GBK" w:eastAsia="方正仿宋_GBK" w:cs="方正仿宋_GBK"/>
          <w:b w:val="0"/>
          <w:bCs/>
          <w:color w:val="000000"/>
          <w:sz w:val="32"/>
          <w:szCs w:val="32"/>
          <w:highlight w:val="none"/>
          <w:shd w:val="clear" w:color="auto" w:fill="auto"/>
        </w:rPr>
        <w:t>解除禁用</w:t>
      </w:r>
      <w:r>
        <w:rPr>
          <w:rFonts w:hint="eastAsia" w:ascii="方正仿宋_GBK" w:hAnsi="方正仿宋_GBK" w:eastAsia="方正仿宋_GBK" w:cs="方正仿宋_GBK"/>
          <w:b w:val="0"/>
          <w:bCs/>
          <w:color w:val="000000"/>
          <w:sz w:val="32"/>
          <w:szCs w:val="32"/>
          <w:highlight w:val="none"/>
          <w:shd w:val="clear" w:color="auto" w:fill="auto"/>
          <w:lang w:eastAsia="zh-CN"/>
        </w:rPr>
        <w:t>或终止</w:t>
      </w:r>
      <w:r>
        <w:rPr>
          <w:rFonts w:hint="eastAsia" w:ascii="方正仿宋_GBK" w:hAnsi="方正仿宋_GBK" w:eastAsia="方正仿宋_GBK" w:cs="方正仿宋_GBK"/>
          <w:b w:val="0"/>
          <w:bCs/>
          <w:color w:val="000000"/>
          <w:sz w:val="32"/>
          <w:szCs w:val="32"/>
          <w:highlight w:val="none"/>
          <w:shd w:val="clear" w:color="auto" w:fill="auto"/>
        </w:rPr>
        <w:t>本合作意向书。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 xml:space="preserve">（一）合同履约期间被列入失信被执行人、重大税收违法案件当事人名单、政府采购严重违法失信行为记录名单的供应商；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（二）受</w:t>
      </w:r>
      <w:r>
        <w:rPr>
          <w:rFonts w:hint="eastAsia" w:ascii="方正仿宋_GBK" w:hAnsi="方正仿宋_GBK" w:eastAsia="方正仿宋_GBK" w:cs="方正仿宋_GBK"/>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邀请参与采购活动，但2次拒不响应竞标的；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（三）供货时间或质量有瑕疵，但不影响项目总体目标的；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（四）存在其他给</w:t>
      </w:r>
      <w:r>
        <w:rPr>
          <w:rFonts w:hint="eastAsia" w:ascii="方正仿宋_GBK" w:hAnsi="方正仿宋_GBK" w:eastAsia="方正仿宋_GBK" w:cs="方正仿宋_GBK"/>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带来重大风险可能的；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（五）</w:t>
      </w:r>
      <w:r>
        <w:rPr>
          <w:rFonts w:hint="eastAsia" w:ascii="方正仿宋_GBK" w:hAnsi="方正仿宋_GBK" w:eastAsia="方正仿宋_GBK" w:cs="方正仿宋_GBK"/>
          <w:b w:val="0"/>
          <w:bCs/>
          <w:color w:val="000000"/>
          <w:sz w:val="32"/>
          <w:szCs w:val="32"/>
          <w:highlight w:val="none"/>
          <w:shd w:val="clear" w:color="auto" w:fill="auto"/>
          <w:lang w:eastAsia="zh-CN"/>
        </w:rPr>
        <w:t>甲方规定</w:t>
      </w:r>
      <w:r>
        <w:rPr>
          <w:rFonts w:hint="eastAsia" w:ascii="方正仿宋_GBK" w:hAnsi="方正仿宋_GBK" w:eastAsia="方正仿宋_GBK" w:cs="方正仿宋_GBK"/>
          <w:b w:val="0"/>
          <w:bCs/>
          <w:color w:val="000000"/>
          <w:sz w:val="32"/>
          <w:szCs w:val="32"/>
          <w:highlight w:val="none"/>
          <w:shd w:val="clear" w:color="auto" w:fill="auto"/>
        </w:rPr>
        <w:t>的其他情形。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七</w:t>
      </w:r>
      <w:r>
        <w:rPr>
          <w:rFonts w:hint="eastAsia" w:ascii="方正仿宋_GBK" w:hAnsi="方正仿宋_GBK" w:eastAsia="方正仿宋_GBK" w:cs="方正仿宋_GBK"/>
          <w:b/>
          <w:bCs w:val="0"/>
          <w:color w:val="000000"/>
          <w:sz w:val="32"/>
          <w:szCs w:val="32"/>
          <w:highlight w:val="none"/>
          <w:shd w:val="clear" w:color="auto" w:fill="auto"/>
        </w:rPr>
        <w:t>、退出情形</w:t>
      </w:r>
    </w:p>
    <w:p>
      <w:pPr>
        <w:pStyle w:val="4"/>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乙方出现下列情形时，</w:t>
      </w:r>
      <w:r>
        <w:rPr>
          <w:rFonts w:hint="eastAsia" w:ascii="方正仿宋_GBK" w:hAnsi="方正仿宋_GBK" w:eastAsia="方正仿宋_GBK" w:cs="方正仿宋_GBK"/>
          <w:b w:val="0"/>
          <w:bCs/>
          <w:color w:val="000000"/>
          <w:sz w:val="32"/>
          <w:szCs w:val="32"/>
          <w:highlight w:val="none"/>
          <w:shd w:val="clear" w:color="auto" w:fill="auto"/>
          <w:lang w:eastAsia="zh-CN"/>
        </w:rPr>
        <w:t>甲方有权将乙方</w:t>
      </w:r>
      <w:r>
        <w:rPr>
          <w:rFonts w:hint="eastAsia" w:ascii="方正仿宋_GBK" w:eastAsia="方正仿宋_GBK"/>
          <w:color w:val="000000"/>
          <w:sz w:val="32"/>
          <w:szCs w:val="32"/>
        </w:rPr>
        <w:t>列入退出名单</w:t>
      </w:r>
      <w:r>
        <w:rPr>
          <w:rFonts w:hint="eastAsia" w:ascii="方正仿宋_GBK" w:eastAsia="方正仿宋_GBK"/>
          <w:color w:val="000000"/>
          <w:sz w:val="32"/>
          <w:szCs w:val="32"/>
          <w:lang w:eastAsia="zh-CN"/>
        </w:rPr>
        <w:t>，</w:t>
      </w:r>
      <w:r>
        <w:rPr>
          <w:rFonts w:hint="eastAsia" w:ascii="方正仿宋_GBK" w:hAnsi="方正仿宋_GBK" w:eastAsia="方正仿宋_GBK" w:cs="方正仿宋_GBK"/>
          <w:b w:val="0"/>
          <w:bCs/>
          <w:color w:val="000000"/>
          <w:sz w:val="32"/>
          <w:szCs w:val="32"/>
          <w:highlight w:val="none"/>
          <w:shd w:val="clear" w:color="auto" w:fill="auto"/>
          <w:lang w:eastAsia="zh-CN"/>
        </w:rPr>
        <w:t>终止</w:t>
      </w:r>
      <w:r>
        <w:rPr>
          <w:rFonts w:hint="eastAsia" w:ascii="方正仿宋_GBK" w:hAnsi="方正仿宋_GBK" w:eastAsia="方正仿宋_GBK" w:cs="方正仿宋_GBK"/>
          <w:b w:val="0"/>
          <w:bCs/>
          <w:color w:val="000000"/>
          <w:sz w:val="32"/>
          <w:szCs w:val="32"/>
          <w:highlight w:val="none"/>
          <w:shd w:val="clear" w:color="auto" w:fill="auto"/>
        </w:rPr>
        <w:t>本合作意向书。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（一）在采购过程中故意扰乱采购秩序，以不正当理由提出异议或拒不接受异议回复，且严重影响采购进程的；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 xml:space="preserve">（二）弄虚作假、隐瞒真实情况骗取供应商资格或中标的；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（三）与其他供应商围标、串标，与</w:t>
      </w:r>
      <w:r>
        <w:rPr>
          <w:rFonts w:hint="eastAsia" w:ascii="方正仿宋_GBK" w:hAnsi="方正仿宋_GBK" w:eastAsia="方正仿宋_GBK" w:cs="方正仿宋_GBK"/>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或代理机构违规串通的；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（四）泄露</w:t>
      </w:r>
      <w:r>
        <w:rPr>
          <w:rFonts w:hint="eastAsia" w:ascii="方正仿宋_GBK" w:hAnsi="方正仿宋_GBK" w:eastAsia="方正仿宋_GBK" w:cs="方正仿宋_GBK"/>
          <w:b w:val="0"/>
          <w:bCs/>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商业秘密的；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（五）供货时间或质量出现严重问题，给</w:t>
      </w:r>
      <w:r>
        <w:rPr>
          <w:rFonts w:hint="eastAsia" w:ascii="方正仿宋_GBK" w:hAnsi="方正仿宋_GBK" w:eastAsia="方正仿宋_GBK" w:cs="方正仿宋_GBK"/>
          <w:b w:val="0"/>
          <w:bCs/>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 xml:space="preserve">带来损失的；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（六）不按采购文件的要求缴纳履约保证金或不按采购文件要求签订合同（合同增加不能接受的额外附加条件）的；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lang w:eastAsia="zh-CN"/>
        </w:rPr>
      </w:pPr>
      <w:r>
        <w:rPr>
          <w:rFonts w:hint="eastAsia" w:ascii="方正仿宋_GBK" w:hAnsi="方正仿宋_GBK" w:eastAsia="方正仿宋_GBK" w:cs="方正仿宋_GBK"/>
          <w:color w:val="000000"/>
          <w:sz w:val="32"/>
          <w:szCs w:val="32"/>
          <w:highlight w:val="none"/>
          <w:shd w:val="clear" w:color="auto" w:fill="auto"/>
          <w:lang w:eastAsia="zh-CN"/>
        </w:rPr>
        <w:t>（七）</w:t>
      </w:r>
      <w:r>
        <w:rPr>
          <w:rFonts w:hint="eastAsia" w:ascii="方正仿宋_GBK" w:hAnsi="方正仿宋_GBK" w:eastAsia="方正仿宋_GBK" w:cs="方正仿宋_GBK"/>
          <w:color w:val="000000"/>
          <w:sz w:val="32"/>
          <w:szCs w:val="32"/>
          <w:highlight w:val="none"/>
          <w:shd w:val="clear" w:color="auto" w:fill="auto"/>
        </w:rPr>
        <w:t>禁用时间到期，需求管理部门未提出解禁或经审查未能解除禁用的；</w:t>
      </w:r>
    </w:p>
    <w:p>
      <w:pPr>
        <w:keepNext w:val="0"/>
        <w:keepLines w:val="0"/>
        <w:pageBreakBefore w:val="0"/>
        <w:kinsoku/>
        <w:wordWrap/>
        <w:overflowPunct/>
        <w:topLinePunct w:val="0"/>
        <w:autoSpaceDE/>
        <w:autoSpaceDN/>
        <w:bidi w:val="0"/>
        <w:adjustRightInd/>
        <w:spacing w:line="600" w:lineRule="exact"/>
        <w:ind w:firstLine="672"/>
        <w:textAlignment w:val="auto"/>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b w:val="0"/>
          <w:bCs/>
          <w:color w:val="000000"/>
          <w:sz w:val="32"/>
          <w:szCs w:val="32"/>
          <w:highlight w:val="none"/>
          <w:shd w:val="clear" w:color="auto" w:fill="auto"/>
          <w:lang w:eastAsia="zh-CN"/>
        </w:rPr>
        <w:t>八</w:t>
      </w: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color w:val="000000"/>
          <w:sz w:val="32"/>
          <w:szCs w:val="32"/>
          <w:highlight w:val="none"/>
          <w:shd w:val="clear" w:color="auto" w:fill="auto"/>
        </w:rPr>
        <w:t>按照甲方网点建设管理办法要求，甲方对乙方考核不达标的</w:t>
      </w:r>
      <w:r>
        <w:rPr>
          <w:rFonts w:hint="eastAsia" w:ascii="方正仿宋_GBK" w:hAnsi="方正仿宋_GBK" w:eastAsia="方正仿宋_GBK" w:cs="方正仿宋_GBK"/>
          <w:color w:val="0000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（九）甲方有</w:t>
      </w:r>
      <w:r>
        <w:rPr>
          <w:rFonts w:hint="eastAsia" w:ascii="方正仿宋_GBK" w:hAnsi="方正仿宋_GBK" w:eastAsia="方正仿宋_GBK" w:cs="方正仿宋_GBK"/>
          <w:b w:val="0"/>
          <w:bCs/>
          <w:color w:val="000000"/>
          <w:sz w:val="32"/>
          <w:szCs w:val="32"/>
          <w:highlight w:val="none"/>
          <w:shd w:val="clear" w:color="auto" w:fill="auto"/>
          <w:lang w:val="en-US" w:eastAsia="zh-CN"/>
        </w:rPr>
        <w:t>3</w:t>
      </w:r>
      <w:r>
        <w:rPr>
          <w:rFonts w:hint="eastAsia" w:ascii="方正仿宋_GBK" w:hAnsi="方正仿宋_GBK" w:eastAsia="方正仿宋_GBK" w:cs="方正仿宋_GBK"/>
          <w:b w:val="0"/>
          <w:bCs/>
          <w:color w:val="000000"/>
          <w:sz w:val="32"/>
          <w:szCs w:val="32"/>
          <w:highlight w:val="none"/>
          <w:shd w:val="clear" w:color="auto" w:fill="auto"/>
          <w:lang w:eastAsia="zh-CN"/>
        </w:rPr>
        <w:t>家不同的分支机构书面投诉的；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b w:val="0"/>
          <w:bCs/>
          <w:color w:val="000000"/>
          <w:sz w:val="32"/>
          <w:szCs w:val="32"/>
          <w:highlight w:val="none"/>
          <w:shd w:val="clear" w:color="auto" w:fill="auto"/>
          <w:lang w:val="en-US" w:eastAsia="zh-CN"/>
        </w:rPr>
        <w:t>十</w:t>
      </w: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b w:val="0"/>
          <w:bCs/>
          <w:color w:val="000000"/>
          <w:sz w:val="32"/>
          <w:szCs w:val="32"/>
          <w:highlight w:val="none"/>
          <w:shd w:val="clear" w:color="auto" w:fill="auto"/>
          <w:lang w:eastAsia="zh-CN"/>
        </w:rPr>
        <w:t>甲方规定</w:t>
      </w:r>
      <w:r>
        <w:rPr>
          <w:rFonts w:hint="eastAsia" w:ascii="方正仿宋_GBK" w:hAnsi="方正仿宋_GBK" w:eastAsia="方正仿宋_GBK" w:cs="方正仿宋_GBK"/>
          <w:b w:val="0"/>
          <w:bCs/>
          <w:color w:val="000000"/>
          <w:sz w:val="32"/>
          <w:szCs w:val="32"/>
          <w:highlight w:val="none"/>
          <w:shd w:val="clear" w:color="auto" w:fill="auto"/>
        </w:rPr>
        <w:t>的其他情形。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八</w:t>
      </w:r>
      <w:r>
        <w:rPr>
          <w:rFonts w:hint="eastAsia" w:ascii="方正仿宋_GBK" w:hAnsi="方正仿宋_GBK" w:eastAsia="方正仿宋_GBK" w:cs="方正仿宋_GBK"/>
          <w:b/>
          <w:bCs w:val="0"/>
          <w:color w:val="000000"/>
          <w:sz w:val="32"/>
          <w:szCs w:val="32"/>
          <w:highlight w:val="none"/>
          <w:shd w:val="clear" w:color="auto" w:fill="auto"/>
        </w:rPr>
        <w:t>、价格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对于甲乙双方合作的项目，乙方承诺就承接的装修项目价格给予甲方最大的优惠，以单个项目中标价作为甲乙双方签订具体项目施工合同的依据。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九</w:t>
      </w:r>
      <w:r>
        <w:rPr>
          <w:rFonts w:hint="eastAsia" w:ascii="方正仿宋_GBK" w:hAnsi="方正仿宋_GBK" w:eastAsia="方正仿宋_GBK" w:cs="方正仿宋_GBK"/>
          <w:b/>
          <w:bCs w:val="0"/>
          <w:color w:val="000000"/>
          <w:sz w:val="32"/>
          <w:szCs w:val="32"/>
          <w:highlight w:val="none"/>
          <w:shd w:val="clear" w:color="auto" w:fill="auto"/>
        </w:rPr>
        <w:t>、具体工程项目施工合同签订方式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依据本协议确定的合作条款，甲乙双方另行协商签订具体项目的工程施工合同，并在合同中对本合作协议条款确定的原则进行可实施性细化。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十</w:t>
      </w:r>
      <w:r>
        <w:rPr>
          <w:rFonts w:hint="eastAsia" w:ascii="方正仿宋_GBK" w:hAnsi="方正仿宋_GBK" w:eastAsia="方正仿宋_GBK" w:cs="方正仿宋_GBK"/>
          <w:b/>
          <w:bCs w:val="0"/>
          <w:color w:val="000000"/>
          <w:sz w:val="32"/>
          <w:szCs w:val="32"/>
          <w:highlight w:val="none"/>
          <w:shd w:val="clear" w:color="auto" w:fill="auto"/>
        </w:rPr>
        <w:t>、保密</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（一）双方保证不向任何第三方透露对方指明不得公开的信息。本条款经双方签署后生效，保密义务不随本协议终止而终止，双方都不得因本合作意向书的解除、终止而违背本条款约定。</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（二）任何一方对在合作过程中所获知的对方未向社会公开的技术情报和商业秘密均负有保密义务，未经对方书面许可，任何一方不得将其泄露给第三方。</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（三）乙方在承办服务期间，对于在甲方处取的有关资料、数据等均应当妥善保管，不得外泄，否则甲方除有权终止本合作意向书外，还可以要求乙方赔偿由此给甲方造成的实际损失。</w:t>
      </w:r>
    </w:p>
    <w:p>
      <w:pPr>
        <w:keepNext w:val="0"/>
        <w:keepLines w:val="0"/>
        <w:pageBreakBefore w:val="0"/>
        <w:kinsoku/>
        <w:wordWrap/>
        <w:overflowPunct/>
        <w:topLinePunct w:val="0"/>
        <w:autoSpaceDE/>
        <w:autoSpaceDN/>
        <w:bidi w:val="0"/>
        <w:adjustRightInd/>
        <w:spacing w:line="600" w:lineRule="exact"/>
        <w:ind w:firstLine="672"/>
        <w:textAlignment w:val="auto"/>
        <w:rPr>
          <w:rFonts w:hint="eastAsia" w:ascii="方正仿宋_GBK" w:hAnsi="方正仿宋_GBK" w:eastAsia="方正仿宋_GBK" w:cs="方正仿宋_GBK"/>
          <w:b/>
          <w:color w:val="000000"/>
          <w:sz w:val="32"/>
          <w:szCs w:val="32"/>
          <w:highlight w:val="none"/>
          <w:shd w:val="clear" w:color="auto" w:fill="auto"/>
        </w:rPr>
      </w:pPr>
      <w:r>
        <w:rPr>
          <w:rFonts w:hint="eastAsia" w:ascii="方正仿宋_GBK" w:hAnsi="方正仿宋_GBK" w:eastAsia="方正仿宋_GBK" w:cs="方正仿宋_GBK"/>
          <w:b/>
          <w:color w:val="000000"/>
          <w:sz w:val="32"/>
          <w:szCs w:val="32"/>
          <w:highlight w:val="none"/>
          <w:shd w:val="clear" w:color="auto" w:fill="auto"/>
        </w:rPr>
        <w:t>十</w:t>
      </w:r>
      <w:r>
        <w:rPr>
          <w:rFonts w:hint="eastAsia" w:ascii="方正仿宋_GBK" w:hAnsi="方正仿宋_GBK" w:eastAsia="方正仿宋_GBK" w:cs="方正仿宋_GBK"/>
          <w:b/>
          <w:color w:val="000000"/>
          <w:sz w:val="32"/>
          <w:szCs w:val="32"/>
          <w:highlight w:val="none"/>
          <w:shd w:val="clear" w:color="auto" w:fill="auto"/>
          <w:lang w:eastAsia="zh-CN"/>
        </w:rPr>
        <w:t>一</w:t>
      </w:r>
      <w:r>
        <w:rPr>
          <w:rFonts w:hint="eastAsia" w:ascii="方正仿宋_GBK" w:hAnsi="方正仿宋_GBK" w:eastAsia="方正仿宋_GBK" w:cs="方正仿宋_GBK"/>
          <w:b/>
          <w:color w:val="000000"/>
          <w:sz w:val="32"/>
          <w:szCs w:val="32"/>
          <w:highlight w:val="none"/>
          <w:shd w:val="clear" w:color="auto" w:fill="auto"/>
        </w:rPr>
        <w:t>、反商业贿赂条款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（一）合同双方都清楚并愿意严格遵守中华人民共和国反商业贿赂的法律规定，双方都清楚任何形式的贿赂和贪渎行为都将触犯法律，并将受到法律的严惩。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二）双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（三）乙方应严格禁止乙方经办人员的任何商业贿赂行为。乙方经办人发生本条款第（二）款所列示的任何一种行为，都是违反乙方公司制度的，都将受到乙方公司制度和国家法律的惩处。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四）甲方郑重提示：本公司（甲方）反对甲乙两方或甲乙两方经办人员为了本协议之目的与本协议以外的任何第三方发生本条款第（二）款所列示的任何一种行为，该等行为都是违反国家法律的行为，并将受到国家法律的惩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（五）如因乙方或乙方经办人违反上述约定，甲方有权立即解除本合作协议及具体工程项目施工合同，并列入禁用名单。</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（六）甲方有权力对甲乙双方以及具体业务合作的第三方监理公司等可能存在涉嫌商业贿赂的行为进行调查、取证及问询，乙方对此有义务予以配合并协助提供证据材料。</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本条所称“其他相关人员”是指两方经办人以外的与协议有直接或间接利益关系的人员，包括但不仅限于协议经办人的亲友。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lang w:eastAsia="zh-CN"/>
        </w:rPr>
      </w:pPr>
      <w:r>
        <w:rPr>
          <w:rFonts w:hint="eastAsia" w:ascii="方正仿宋_GBK" w:hAnsi="方正仿宋_GBK" w:eastAsia="方正仿宋_GBK" w:cs="方正仿宋_GBK"/>
          <w:b/>
          <w:bCs w:val="0"/>
          <w:color w:val="000000"/>
          <w:sz w:val="32"/>
          <w:szCs w:val="32"/>
          <w:highlight w:val="none"/>
          <w:shd w:val="clear" w:color="auto" w:fill="auto"/>
        </w:rPr>
        <w:t>十</w:t>
      </w:r>
      <w:r>
        <w:rPr>
          <w:rFonts w:hint="eastAsia" w:ascii="方正仿宋_GBK" w:hAnsi="方正仿宋_GBK" w:eastAsia="方正仿宋_GBK" w:cs="方正仿宋_GBK"/>
          <w:b/>
          <w:bCs w:val="0"/>
          <w:color w:val="000000"/>
          <w:sz w:val="32"/>
          <w:szCs w:val="32"/>
          <w:highlight w:val="none"/>
          <w:shd w:val="clear" w:color="auto" w:fill="auto"/>
          <w:lang w:eastAsia="zh-CN"/>
        </w:rPr>
        <w:t>二</w:t>
      </w:r>
      <w:r>
        <w:rPr>
          <w:rFonts w:hint="eastAsia" w:ascii="方正仿宋_GBK" w:hAnsi="方正仿宋_GBK" w:eastAsia="方正仿宋_GBK" w:cs="方正仿宋_GBK"/>
          <w:b/>
          <w:bCs w:val="0"/>
          <w:color w:val="000000"/>
          <w:sz w:val="32"/>
          <w:szCs w:val="32"/>
          <w:highlight w:val="none"/>
          <w:shd w:val="clear" w:color="auto" w:fill="auto"/>
        </w:rPr>
        <w:t>、</w:t>
      </w:r>
      <w:r>
        <w:rPr>
          <w:rFonts w:hint="eastAsia" w:ascii="方正仿宋_GBK" w:hAnsi="方正仿宋_GBK" w:eastAsia="方正仿宋_GBK" w:cs="方正仿宋_GBK"/>
          <w:b/>
          <w:bCs w:val="0"/>
          <w:color w:val="000000"/>
          <w:sz w:val="32"/>
          <w:szCs w:val="32"/>
          <w:highlight w:val="none"/>
          <w:shd w:val="clear" w:color="auto" w:fill="auto"/>
          <w:lang w:eastAsia="zh-CN"/>
        </w:rPr>
        <w:t>其他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（一）与本合作意向书相关的公开征集供应商入库文件、</w:t>
      </w:r>
      <w:r>
        <w:rPr>
          <w:rFonts w:hint="eastAsia" w:ascii="方正仿宋_GBK" w:hAnsi="方正仿宋_GBK" w:eastAsia="方正仿宋_GBK" w:cs="方正仿宋_GBK"/>
          <w:b w:val="0"/>
          <w:bCs/>
          <w:color w:val="000000"/>
          <w:sz w:val="32"/>
          <w:szCs w:val="32"/>
          <w:highlight w:val="none"/>
          <w:shd w:val="clear" w:color="auto" w:fill="auto"/>
          <w:lang w:val="en-US" w:eastAsia="zh-CN"/>
        </w:rPr>
        <w:t>投标文件和</w:t>
      </w:r>
      <w:r>
        <w:rPr>
          <w:rFonts w:hint="eastAsia" w:ascii="方正仿宋_GBK" w:hAnsi="方正仿宋_GBK" w:eastAsia="方正仿宋_GBK" w:cs="方正仿宋_GBK"/>
          <w:b w:val="0"/>
          <w:bCs/>
          <w:color w:val="000000"/>
          <w:sz w:val="32"/>
          <w:szCs w:val="32"/>
          <w:highlight w:val="none"/>
          <w:shd w:val="clear" w:color="auto" w:fill="auto"/>
        </w:rPr>
        <w:t>入库通知书均是本合同不可分割的组成部分，与本合同具有同等法律效力。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（二）因本合作意向书而引发的争议由甲乙双方友好协商解决，协商不成，任何一方均可向甲方所在地人民法院提起诉讼。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（三）本协议在双方加盖公章后生效，双方各持</w:t>
      </w:r>
      <w:r>
        <w:rPr>
          <w:rFonts w:hint="eastAsia" w:ascii="方正仿宋_GBK" w:hAnsi="方正仿宋_GBK" w:eastAsia="方正仿宋_GBK" w:cs="方正仿宋_GBK"/>
          <w:b w:val="0"/>
          <w:bCs/>
          <w:color w:val="000000"/>
          <w:sz w:val="32"/>
          <w:szCs w:val="32"/>
          <w:highlight w:val="none"/>
          <w:shd w:val="clear" w:color="auto" w:fill="auto"/>
          <w:lang w:eastAsia="zh-CN"/>
        </w:rPr>
        <w:t>贰</w:t>
      </w:r>
      <w:r>
        <w:rPr>
          <w:rFonts w:hint="eastAsia" w:ascii="方正仿宋_GBK" w:hAnsi="方正仿宋_GBK" w:eastAsia="方正仿宋_GBK" w:cs="方正仿宋_GBK"/>
          <w:b w:val="0"/>
          <w:bCs/>
          <w:color w:val="000000"/>
          <w:sz w:val="32"/>
          <w:szCs w:val="32"/>
          <w:highlight w:val="none"/>
          <w:shd w:val="clear" w:color="auto" w:fill="auto"/>
        </w:rPr>
        <w:t>份，具有同等法律效力。</w:t>
      </w: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p>
    <w:p>
      <w:pPr>
        <w:spacing w:line="460" w:lineRule="exact"/>
        <w:rPr>
          <w:rFonts w:hint="eastAsia" w:ascii="方正仿宋_GBK" w:eastAsia="方正仿宋_GBK"/>
          <w:sz w:val="32"/>
          <w:szCs w:val="32"/>
        </w:rPr>
      </w:pPr>
    </w:p>
    <w:p>
      <w:pPr>
        <w:spacing w:line="600" w:lineRule="exact"/>
        <w:ind w:firstLine="420" w:firstLineChars="200"/>
        <w:rPr>
          <w:rFonts w:hint="eastAsia"/>
        </w:rPr>
      </w:pPr>
    </w:p>
    <w:p>
      <w:pPr>
        <w:pStyle w:val="3"/>
        <w:spacing w:line="360" w:lineRule="auto"/>
        <w:jc w:val="center"/>
        <w:rPr>
          <w:rFonts w:hint="eastAsia"/>
          <w:sz w:val="36"/>
          <w:szCs w:val="36"/>
        </w:rPr>
      </w:pPr>
      <w:bookmarkStart w:id="5" w:name="_Toc453097401"/>
      <w:bookmarkStart w:id="6" w:name="_Toc20292"/>
      <w:bookmarkStart w:id="7" w:name="_Toc55374221"/>
      <w:r>
        <w:rPr>
          <w:rFonts w:hint="eastAsia"/>
          <w:sz w:val="36"/>
          <w:szCs w:val="36"/>
        </w:rPr>
        <w:t>第三部分</w:t>
      </w:r>
      <w:r>
        <w:rPr>
          <w:sz w:val="36"/>
          <w:szCs w:val="36"/>
        </w:rPr>
        <w:t>  </w:t>
      </w:r>
      <w:bookmarkEnd w:id="5"/>
      <w:bookmarkEnd w:id="6"/>
      <w:bookmarkStart w:id="8" w:name="_Toc22303"/>
      <w:bookmarkStart w:id="9" w:name="_Toc453097403"/>
      <w:r>
        <w:rPr>
          <w:rFonts w:hint="eastAsia"/>
          <w:sz w:val="36"/>
          <w:szCs w:val="36"/>
        </w:rPr>
        <w:t>入库</w:t>
      </w:r>
      <w:r>
        <w:rPr>
          <w:rFonts w:hint="eastAsia"/>
          <w:sz w:val="36"/>
          <w:szCs w:val="36"/>
          <w:lang w:eastAsia="zh-CN"/>
        </w:rPr>
        <w:t>竞选文件</w:t>
      </w:r>
      <w:r>
        <w:rPr>
          <w:rFonts w:hint="eastAsia"/>
          <w:sz w:val="36"/>
          <w:szCs w:val="36"/>
        </w:rPr>
        <w:t>格式</w:t>
      </w:r>
      <w:bookmarkEnd w:id="7"/>
      <w:bookmarkEnd w:id="8"/>
      <w:bookmarkEnd w:id="9"/>
    </w:p>
    <w:p>
      <w:pPr>
        <w:ind w:firstLine="560" w:firstLineChars="200"/>
        <w:jc w:val="left"/>
        <w:rPr>
          <w:rFonts w:hint="eastAsia" w:ascii="方正小标宋_GBK" w:eastAsia="方正小标宋_GBK"/>
        </w:rPr>
      </w:pPr>
      <w:r>
        <w:rPr>
          <w:rFonts w:hint="eastAsia" w:ascii="方正小标宋_GBK" w:hAnsi="宋体" w:eastAsia="方正小标宋_GBK"/>
          <w:sz w:val="28"/>
          <w:szCs w:val="28"/>
        </w:rPr>
        <w:t>各申请人应按照本部分规定的格式及顺序组织编写和装订。</w:t>
      </w:r>
    </w:p>
    <w:p>
      <w:pPr>
        <w:pStyle w:val="2"/>
        <w:numPr>
          <w:ilvl w:val="1"/>
          <w:numId w:val="3"/>
        </w:numPr>
        <w:spacing w:before="240" w:beforeLines="100"/>
        <w:rPr>
          <w:rFonts w:hint="eastAsia"/>
          <w:sz w:val="28"/>
        </w:rPr>
      </w:pPr>
      <w:bookmarkStart w:id="10" w:name="_Toc306798308"/>
      <w:bookmarkStart w:id="11" w:name="_Toc306798307"/>
      <w:r>
        <w:rPr>
          <w:rFonts w:hint="eastAsia"/>
          <w:sz w:val="28"/>
        </w:rPr>
        <w:t>申请函格式</w:t>
      </w:r>
      <w:bookmarkEnd w:id="10"/>
    </w:p>
    <w:p>
      <w:pPr>
        <w:spacing w:line="500" w:lineRule="exact"/>
        <w:ind w:firstLine="643" w:firstLineChars="200"/>
        <w:jc w:val="center"/>
        <w:rPr>
          <w:rFonts w:hint="eastAsia" w:ascii="宋体" w:hAnsi="宋体"/>
          <w:b/>
          <w:sz w:val="32"/>
          <w:szCs w:val="32"/>
        </w:rPr>
      </w:pPr>
      <w:r>
        <w:rPr>
          <w:rFonts w:hint="eastAsia" w:ascii="宋体" w:hAnsi="宋体"/>
          <w:b/>
          <w:sz w:val="32"/>
          <w:szCs w:val="32"/>
        </w:rPr>
        <w:t>申  请  函</w:t>
      </w:r>
    </w:p>
    <w:p>
      <w:pPr>
        <w:spacing w:line="500" w:lineRule="exact"/>
        <w:ind w:firstLine="3244" w:firstLineChars="1545"/>
        <w:rPr>
          <w:rFonts w:hint="eastAsia" w:ascii="宋体" w:hAnsi="宋体"/>
          <w:szCs w:val="21"/>
        </w:rPr>
      </w:pPr>
    </w:p>
    <w:p>
      <w:pPr>
        <w:tabs>
          <w:tab w:val="left" w:pos="6300"/>
        </w:tabs>
        <w:spacing w:line="500" w:lineRule="exact"/>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重庆银行股份有限公司</w:t>
      </w:r>
      <w:r>
        <w:rPr>
          <w:rFonts w:hint="eastAsia" w:ascii="仿宋" w:hAnsi="仿宋" w:eastAsia="仿宋"/>
          <w:sz w:val="24"/>
        </w:rPr>
        <w:t>：</w:t>
      </w:r>
    </w:p>
    <w:p>
      <w:pPr>
        <w:spacing w:before="120" w:beforeLines="50" w:line="500" w:lineRule="exact"/>
        <w:ind w:firstLine="480" w:firstLineChars="200"/>
        <w:rPr>
          <w:rFonts w:hint="eastAsia" w:ascii="仿宋" w:hAnsi="仿宋" w:eastAsia="仿宋"/>
          <w:sz w:val="24"/>
        </w:rPr>
      </w:pPr>
      <w:r>
        <w:rPr>
          <w:rFonts w:hint="eastAsia" w:ascii="仿宋" w:hAnsi="仿宋" w:eastAsia="仿宋"/>
          <w:sz w:val="24"/>
        </w:rPr>
        <w:t>根据贵行</w:t>
      </w:r>
      <w:r>
        <w:rPr>
          <w:rFonts w:hint="eastAsia" w:ascii="仿宋" w:hAnsi="仿宋" w:eastAsia="仿宋"/>
          <w:sz w:val="28"/>
          <w:szCs w:val="28"/>
          <w:u w:val="single"/>
          <w:lang w:eastAsia="zh-CN"/>
        </w:rPr>
        <w:t>重庆银行工程项目供应商备选库（西安分行A库）</w:t>
      </w:r>
      <w:r>
        <w:rPr>
          <w:rFonts w:hint="eastAsia" w:ascii="仿宋" w:hAnsi="仿宋" w:eastAsia="仿宋"/>
          <w:sz w:val="24"/>
        </w:rPr>
        <w:t>的入库比选文件，我公司正式授权下述签字人</w:t>
      </w:r>
      <w:r>
        <w:rPr>
          <w:rFonts w:hint="eastAsia" w:ascii="仿宋" w:hAnsi="仿宋" w:eastAsia="仿宋"/>
          <w:sz w:val="24"/>
          <w:u w:val="single"/>
        </w:rPr>
        <w:t xml:space="preserve">                              </w:t>
      </w:r>
      <w:r>
        <w:rPr>
          <w:rFonts w:hint="eastAsia" w:ascii="仿宋" w:hAnsi="仿宋" w:eastAsia="仿宋"/>
          <w:sz w:val="24"/>
        </w:rPr>
        <w:t>(姓名和职务)代表我方</w:t>
      </w:r>
      <w:r>
        <w:rPr>
          <w:rFonts w:hint="eastAsia" w:ascii="仿宋" w:hAnsi="仿宋" w:eastAsia="仿宋"/>
          <w:sz w:val="24"/>
          <w:u w:val="single"/>
        </w:rPr>
        <w:t xml:space="preserve">                              </w:t>
      </w:r>
      <w:r>
        <w:rPr>
          <w:rFonts w:hint="eastAsia" w:ascii="仿宋" w:hAnsi="仿宋" w:eastAsia="仿宋"/>
          <w:sz w:val="24"/>
        </w:rPr>
        <w:t>（申请人名称），提交下述文件正本壹份，副本贰份。</w:t>
      </w:r>
    </w:p>
    <w:p>
      <w:pPr>
        <w:spacing w:before="120" w:beforeLines="50" w:line="500" w:lineRule="exact"/>
        <w:ind w:firstLine="480" w:firstLineChars="200"/>
        <w:rPr>
          <w:rFonts w:hint="eastAsia" w:ascii="仿宋" w:hAnsi="仿宋" w:eastAsia="仿宋"/>
          <w:sz w:val="24"/>
        </w:rPr>
      </w:pPr>
      <w:r>
        <w:rPr>
          <w:rFonts w:hint="eastAsia" w:ascii="仿宋" w:hAnsi="仿宋" w:eastAsia="仿宋"/>
          <w:sz w:val="24"/>
        </w:rPr>
        <w:t>据此函，签字人兹宣布同意如下：</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一、</w:t>
      </w:r>
      <w:r>
        <w:rPr>
          <w:rFonts w:ascii="仿宋" w:hAnsi="仿宋" w:eastAsia="仿宋"/>
          <w:sz w:val="24"/>
        </w:rPr>
        <w:t>我方</w:t>
      </w:r>
      <w:r>
        <w:rPr>
          <w:rFonts w:hint="eastAsia" w:ascii="仿宋" w:hAnsi="仿宋" w:eastAsia="仿宋"/>
          <w:sz w:val="24"/>
        </w:rPr>
        <w:t>完全理解并接受该项目入库比选文件所有要求。</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二、我方</w:t>
      </w:r>
      <w:r>
        <w:rPr>
          <w:rFonts w:ascii="仿宋" w:hAnsi="仿宋" w:eastAsia="仿宋"/>
          <w:sz w:val="24"/>
        </w:rPr>
        <w:t>提交的所有</w:t>
      </w:r>
      <w:r>
        <w:rPr>
          <w:rFonts w:hint="eastAsia" w:ascii="仿宋" w:hAnsi="仿宋" w:eastAsia="仿宋"/>
          <w:sz w:val="24"/>
        </w:rPr>
        <w:t>入库</w:t>
      </w:r>
      <w:r>
        <w:rPr>
          <w:rFonts w:hint="eastAsia" w:ascii="仿宋" w:hAnsi="仿宋" w:eastAsia="仿宋"/>
          <w:sz w:val="24"/>
          <w:lang w:eastAsia="zh-CN"/>
        </w:rPr>
        <w:t>竞选文件</w:t>
      </w:r>
      <w:r>
        <w:rPr>
          <w:rFonts w:ascii="仿宋" w:hAnsi="仿宋" w:eastAsia="仿宋"/>
          <w:sz w:val="24"/>
        </w:rPr>
        <w:t>、资料都是准确和真实的</w:t>
      </w:r>
      <w:r>
        <w:rPr>
          <w:rFonts w:hint="eastAsia" w:ascii="仿宋" w:hAnsi="仿宋" w:eastAsia="仿宋"/>
          <w:sz w:val="24"/>
        </w:rPr>
        <w:t>，如有虚假或隐瞒，我方愿意承担一切法律责任。</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三、如果我方取得入库资格，我方将在收到通知后，按贵行要求的时限，与贵行签订相关合同协议。我方将履行比选入库文件中规定的各项要求以及我方入库</w:t>
      </w:r>
      <w:r>
        <w:rPr>
          <w:rFonts w:hint="eastAsia" w:ascii="仿宋" w:hAnsi="仿宋" w:eastAsia="仿宋"/>
          <w:sz w:val="24"/>
          <w:lang w:eastAsia="zh-CN"/>
        </w:rPr>
        <w:t>竞选文件</w:t>
      </w:r>
      <w:r>
        <w:rPr>
          <w:rFonts w:hint="eastAsia" w:ascii="仿宋" w:hAnsi="仿宋" w:eastAsia="仿宋"/>
          <w:sz w:val="24"/>
        </w:rPr>
        <w:t>的各项承诺，按相关法规及合同约定条款承担我方责任。</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四、与本此采购有关的一切往来通讯请寄：</w:t>
      </w:r>
    </w:p>
    <w:p>
      <w:pPr>
        <w:tabs>
          <w:tab w:val="left" w:pos="6300"/>
        </w:tabs>
        <w:spacing w:line="500" w:lineRule="exact"/>
        <w:ind w:firstLine="480" w:firstLineChars="200"/>
        <w:rPr>
          <w:rFonts w:hint="eastAsia" w:ascii="仿宋" w:hAnsi="仿宋" w:eastAsia="仿宋"/>
          <w:sz w:val="24"/>
          <w:u w:val="single"/>
        </w:rPr>
      </w:pPr>
      <w:r>
        <w:rPr>
          <w:rFonts w:hint="eastAsia" w:ascii="仿宋" w:hAnsi="仿宋" w:eastAsia="仿宋"/>
          <w:sz w:val="24"/>
        </w:rPr>
        <w:t>地   址：</w:t>
      </w:r>
      <w:r>
        <w:rPr>
          <w:rFonts w:hint="eastAsia" w:ascii="仿宋" w:hAnsi="仿宋" w:eastAsia="仿宋"/>
          <w:sz w:val="24"/>
          <w:u w:val="single"/>
        </w:rPr>
        <w:t xml:space="preserve">                      </w:t>
      </w:r>
      <w:r>
        <w:rPr>
          <w:rFonts w:hint="eastAsia" w:ascii="仿宋" w:hAnsi="仿宋" w:eastAsia="仿宋"/>
          <w:sz w:val="24"/>
        </w:rPr>
        <w:t xml:space="preserve"> 邮   编：</w:t>
      </w:r>
      <w:r>
        <w:rPr>
          <w:rFonts w:hint="eastAsia" w:ascii="仿宋" w:hAnsi="仿宋" w:eastAsia="仿宋"/>
          <w:sz w:val="24"/>
          <w:u w:val="single"/>
        </w:rPr>
        <w:t xml:space="preserve">                       </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电   话：</w:t>
      </w:r>
      <w:r>
        <w:rPr>
          <w:rFonts w:hint="eastAsia" w:ascii="仿宋" w:hAnsi="仿宋" w:eastAsia="仿宋"/>
          <w:sz w:val="24"/>
          <w:u w:val="single"/>
        </w:rPr>
        <w:t xml:space="preserve">                       </w:t>
      </w:r>
      <w:r>
        <w:rPr>
          <w:rFonts w:hint="eastAsia" w:ascii="仿宋" w:hAnsi="仿宋" w:eastAsia="仿宋"/>
          <w:sz w:val="24"/>
        </w:rPr>
        <w:t>传   真：</w:t>
      </w:r>
      <w:r>
        <w:rPr>
          <w:rFonts w:hint="eastAsia" w:ascii="仿宋" w:hAnsi="仿宋" w:eastAsia="仿宋"/>
          <w:sz w:val="24"/>
          <w:u w:val="single"/>
        </w:rPr>
        <w:t xml:space="preserve">                      </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申请人（盖章）：</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6300"/>
        </w:tabs>
        <w:spacing w:line="500" w:lineRule="exact"/>
        <w:ind w:firstLine="480" w:firstLineChars="200"/>
        <w:rPr>
          <w:rFonts w:hint="eastAsia" w:ascii="仿宋" w:hAnsi="仿宋" w:eastAsia="仿宋"/>
          <w:sz w:val="24"/>
          <w:u w:val="single"/>
        </w:rPr>
      </w:pPr>
      <w:r>
        <w:rPr>
          <w:rFonts w:hint="eastAsia" w:ascii="仿宋" w:hAnsi="仿宋" w:eastAsia="仿宋"/>
          <w:sz w:val="24"/>
        </w:rPr>
        <w:t>法人代表或授权代表（签字或盖章）：</w:t>
      </w:r>
      <w:r>
        <w:rPr>
          <w:rFonts w:hint="eastAsia" w:ascii="仿宋" w:hAnsi="仿宋" w:eastAsia="仿宋"/>
          <w:sz w:val="24"/>
          <w:u w:val="single"/>
        </w:rPr>
        <w:t xml:space="preserve">                 </w:t>
      </w:r>
    </w:p>
    <w:p>
      <w:pPr>
        <w:tabs>
          <w:tab w:val="left" w:pos="6300"/>
        </w:tabs>
        <w:spacing w:line="500" w:lineRule="exact"/>
        <w:ind w:firstLine="5760" w:firstLineChars="2400"/>
        <w:rPr>
          <w:rFonts w:hint="eastAsia" w:ascii="仿宋" w:hAnsi="仿宋" w:eastAsia="仿宋"/>
          <w:sz w:val="24"/>
        </w:rPr>
      </w:pPr>
    </w:p>
    <w:p>
      <w:pPr>
        <w:tabs>
          <w:tab w:val="left" w:pos="6300"/>
        </w:tabs>
        <w:spacing w:line="500" w:lineRule="exact"/>
        <w:ind w:firstLine="5880" w:firstLineChars="2450"/>
        <w:rPr>
          <w:rFonts w:ascii="宋体" w:hAnsi="宋体"/>
          <w:sz w:val="24"/>
        </w:rPr>
        <w:sectPr>
          <w:headerReference r:id="rId6" w:type="default"/>
          <w:footerReference r:id="rId7" w:type="default"/>
          <w:endnotePr>
            <w:numFmt w:val="decimal"/>
          </w:endnotePr>
          <w:pgSz w:w="11907" w:h="16840"/>
          <w:pgMar w:top="1418" w:right="1134" w:bottom="1418" w:left="1134" w:header="964" w:footer="992" w:gutter="0"/>
          <w:cols w:space="720" w:num="1"/>
          <w:docGrid w:linePitch="380" w:charSpace="-5735"/>
        </w:sectPr>
      </w:pPr>
      <w:r>
        <w:rPr>
          <w:rFonts w:hint="eastAsia" w:ascii="仿宋" w:hAnsi="仿宋" w:eastAsia="仿宋"/>
          <w:sz w:val="24"/>
        </w:rPr>
        <w:t>年     月     日</w:t>
      </w:r>
    </w:p>
    <w:p>
      <w:pPr>
        <w:rPr>
          <w:rFonts w:hint="eastAsia"/>
        </w:rPr>
      </w:pPr>
    </w:p>
    <w:p>
      <w:pPr>
        <w:pStyle w:val="2"/>
        <w:numPr>
          <w:ilvl w:val="1"/>
          <w:numId w:val="3"/>
        </w:numPr>
        <w:spacing w:before="0"/>
        <w:rPr>
          <w:rFonts w:hint="eastAsia"/>
          <w:sz w:val="28"/>
        </w:rPr>
      </w:pPr>
      <w:r>
        <w:rPr>
          <w:rFonts w:hint="eastAsia"/>
          <w:sz w:val="28"/>
        </w:rPr>
        <w:t>法人营业执照证复印件（加盖公章）</w:t>
      </w:r>
    </w:p>
    <w:p>
      <w:pPr>
        <w:rPr>
          <w:rFonts w:hint="eastAsia"/>
          <w:sz w:val="28"/>
        </w:rPr>
      </w:pPr>
    </w:p>
    <w:p>
      <w:pPr>
        <w:rPr>
          <w:rFonts w:hint="eastAsia"/>
          <w:sz w:val="28"/>
        </w:rPr>
      </w:pPr>
    </w:p>
    <w:p>
      <w:pPr>
        <w:rPr>
          <w:rFonts w:hint="eastAsia"/>
          <w:sz w:val="28"/>
        </w:rPr>
      </w:pPr>
    </w:p>
    <w:p>
      <w:pPr>
        <w:rPr>
          <w:rFonts w:hint="eastAsia"/>
          <w:sz w:val="28"/>
        </w:rPr>
      </w:pPr>
    </w:p>
    <w:bookmarkEnd w:id="11"/>
    <w:p>
      <w:pPr>
        <w:pStyle w:val="2"/>
        <w:numPr>
          <w:ilvl w:val="1"/>
          <w:numId w:val="3"/>
        </w:numPr>
        <w:spacing w:before="0"/>
        <w:rPr>
          <w:sz w:val="28"/>
        </w:rPr>
      </w:pPr>
      <w:bookmarkStart w:id="12" w:name="_Toc306798310"/>
      <w:bookmarkStart w:id="13" w:name="_Toc161727398"/>
      <w:r>
        <w:rPr>
          <w:sz w:val="28"/>
        </w:rPr>
        <w:br w:type="page"/>
      </w:r>
      <w:r>
        <w:rPr>
          <w:sz w:val="28"/>
        </w:rPr>
        <w:t>授权委托书格式</w:t>
      </w:r>
      <w:bookmarkEnd w:id="12"/>
      <w:r>
        <w:rPr>
          <w:rFonts w:hint="eastAsia"/>
          <w:sz w:val="28"/>
        </w:rPr>
        <w:t>（如果有）</w:t>
      </w:r>
    </w:p>
    <w:p>
      <w:pPr>
        <w:spacing w:line="360" w:lineRule="auto"/>
        <w:jc w:val="center"/>
        <w:rPr>
          <w:rFonts w:hint="eastAsia" w:ascii="宋体"/>
          <w:b/>
          <w:bCs/>
          <w:sz w:val="32"/>
          <w:szCs w:val="32"/>
        </w:rPr>
      </w:pPr>
      <w:bookmarkStart w:id="14" w:name="_Toc5060"/>
      <w:bookmarkStart w:id="15" w:name="_Toc24297"/>
      <w:r>
        <w:rPr>
          <w:rFonts w:hint="eastAsia" w:ascii="宋体"/>
          <w:b/>
          <w:bCs/>
          <w:sz w:val="32"/>
          <w:szCs w:val="32"/>
        </w:rPr>
        <w:t>授权委托书</w:t>
      </w:r>
    </w:p>
    <w:p>
      <w:pPr>
        <w:spacing w:line="360" w:lineRule="auto"/>
        <w:ind w:firstLine="420" w:firstLineChars="200"/>
        <w:rPr>
          <w:rFonts w:hint="eastAsia" w:ascii="宋体"/>
        </w:rPr>
      </w:pPr>
    </w:p>
    <w:p>
      <w:pPr>
        <w:snapToGrid w:val="0"/>
        <w:spacing w:line="480" w:lineRule="exact"/>
        <w:rPr>
          <w:rFonts w:hint="eastAsia" w:ascii="仿宋" w:hAnsi="仿宋" w:eastAsia="仿宋"/>
          <w:szCs w:val="21"/>
        </w:rPr>
      </w:pPr>
      <w:r>
        <w:rPr>
          <w:rFonts w:hint="eastAsia" w:ascii="仿宋" w:hAnsi="仿宋" w:eastAsia="仿宋"/>
          <w:bCs/>
          <w:spacing w:val="8"/>
          <w:sz w:val="24"/>
        </w:rPr>
        <w:t>致：</w:t>
      </w:r>
      <w:r>
        <w:rPr>
          <w:rFonts w:hint="eastAsia" w:ascii="仿宋" w:hAnsi="仿宋" w:eastAsia="仿宋"/>
          <w:sz w:val="24"/>
          <w:u w:val="single"/>
        </w:rPr>
        <w:t xml:space="preserve">                     </w:t>
      </w:r>
      <w:r>
        <w:rPr>
          <w:rFonts w:hint="eastAsia" w:ascii="仿宋" w:hAnsi="仿宋" w:eastAsia="仿宋"/>
          <w:szCs w:val="21"/>
        </w:rPr>
        <w:t xml:space="preserve">           </w:t>
      </w:r>
    </w:p>
    <w:p>
      <w:pPr>
        <w:snapToGrid w:val="0"/>
        <w:spacing w:line="480" w:lineRule="exact"/>
        <w:rPr>
          <w:rFonts w:hint="eastAsia" w:ascii="仿宋" w:hAnsi="仿宋" w:eastAsia="仿宋"/>
          <w:sz w:val="24"/>
          <w:szCs w:val="21"/>
        </w:rPr>
      </w:pPr>
      <w:r>
        <w:rPr>
          <w:rFonts w:hint="eastAsia" w:ascii="仿宋" w:hAnsi="仿宋" w:eastAsia="仿宋"/>
          <w:szCs w:val="21"/>
        </w:rPr>
        <w:t xml:space="preserve">   </w:t>
      </w:r>
      <w:r>
        <w:rPr>
          <w:rFonts w:hint="eastAsia" w:ascii="仿宋" w:hAnsi="仿宋" w:eastAsia="仿宋"/>
          <w:sz w:val="24"/>
          <w:szCs w:val="21"/>
        </w:rPr>
        <w:t xml:space="preserve"> 本授权书声明：注册于</w:t>
      </w:r>
      <w:r>
        <w:rPr>
          <w:rFonts w:hint="eastAsia" w:ascii="仿宋" w:hAnsi="仿宋" w:eastAsia="仿宋"/>
          <w:sz w:val="24"/>
          <w:szCs w:val="21"/>
          <w:u w:val="single"/>
        </w:rPr>
        <w:t xml:space="preserve">                                    </w:t>
      </w:r>
      <w:r>
        <w:rPr>
          <w:rFonts w:hint="eastAsia" w:ascii="仿宋" w:hAnsi="仿宋" w:eastAsia="仿宋"/>
          <w:sz w:val="24"/>
          <w:szCs w:val="21"/>
        </w:rPr>
        <w:t>（申请人住址）的</w:t>
      </w:r>
      <w:r>
        <w:rPr>
          <w:rFonts w:hint="eastAsia" w:ascii="仿宋" w:hAnsi="仿宋" w:eastAsia="仿宋"/>
          <w:sz w:val="24"/>
          <w:szCs w:val="21"/>
          <w:u w:val="single"/>
        </w:rPr>
        <w:t xml:space="preserve">                       </w:t>
      </w:r>
      <w:r>
        <w:rPr>
          <w:rFonts w:hint="eastAsia" w:ascii="仿宋" w:hAnsi="仿宋" w:eastAsia="仿宋"/>
          <w:sz w:val="24"/>
          <w:szCs w:val="21"/>
        </w:rPr>
        <w:t>（申请人名称）法定代表人</w:t>
      </w:r>
      <w:r>
        <w:rPr>
          <w:rFonts w:hint="eastAsia" w:ascii="仿宋" w:hAnsi="仿宋" w:eastAsia="仿宋"/>
          <w:sz w:val="24"/>
          <w:szCs w:val="21"/>
          <w:u w:val="single"/>
        </w:rPr>
        <w:t xml:space="preserve">             </w:t>
      </w:r>
      <w:r>
        <w:rPr>
          <w:rFonts w:hint="eastAsia" w:ascii="仿宋" w:hAnsi="仿宋" w:eastAsia="仿宋"/>
          <w:sz w:val="24"/>
          <w:szCs w:val="21"/>
        </w:rPr>
        <w:t>（法定代表人姓名）代表本单位授权</w:t>
      </w:r>
      <w:r>
        <w:rPr>
          <w:rFonts w:hint="eastAsia" w:ascii="仿宋" w:hAnsi="仿宋" w:eastAsia="仿宋"/>
          <w:sz w:val="24"/>
          <w:szCs w:val="21"/>
          <w:u w:val="single"/>
        </w:rPr>
        <w:t xml:space="preserve">                </w:t>
      </w:r>
      <w:r>
        <w:rPr>
          <w:rFonts w:hint="eastAsia" w:ascii="仿宋" w:hAnsi="仿宋" w:eastAsia="仿宋"/>
          <w:sz w:val="24"/>
          <w:szCs w:val="21"/>
        </w:rPr>
        <w:t>（申请人代表姓名、职务）为本单位的合法代理人，就贵方组织的项目名称</w:t>
      </w:r>
      <w:r>
        <w:rPr>
          <w:rFonts w:hint="eastAsia" w:ascii="仿宋" w:hAnsi="仿宋" w:eastAsia="仿宋"/>
          <w:b/>
          <w:sz w:val="24"/>
          <w:szCs w:val="21"/>
          <w:u w:val="single"/>
        </w:rPr>
        <w:t xml:space="preserve">                           </w:t>
      </w:r>
      <w:r>
        <w:rPr>
          <w:rFonts w:hint="eastAsia" w:ascii="仿宋" w:hAnsi="仿宋" w:eastAsia="仿宋"/>
          <w:sz w:val="24"/>
          <w:szCs w:val="21"/>
        </w:rPr>
        <w:t>，进行入库申请，以本单位名义处理一切与之有关的事务。</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本授权书于</w:t>
      </w:r>
      <w:r>
        <w:rPr>
          <w:rFonts w:hint="eastAsia" w:ascii="仿宋" w:hAnsi="仿宋" w:eastAsia="仿宋"/>
          <w:sz w:val="24"/>
          <w:szCs w:val="21"/>
          <w:u w:val="single"/>
        </w:rPr>
        <w:t xml:space="preserve">      年    月    日</w:t>
      </w:r>
      <w:r>
        <w:rPr>
          <w:rFonts w:hint="eastAsia" w:ascii="仿宋" w:hAnsi="仿宋" w:eastAsia="仿宋"/>
          <w:sz w:val="24"/>
          <w:szCs w:val="21"/>
        </w:rPr>
        <w:t>签字生效，有效期为</w:t>
      </w:r>
      <w:r>
        <w:rPr>
          <w:rFonts w:hint="eastAsia" w:ascii="仿宋" w:hAnsi="仿宋" w:eastAsia="仿宋"/>
          <w:sz w:val="24"/>
          <w:szCs w:val="21"/>
          <w:u w:val="single"/>
        </w:rPr>
        <w:t>90</w:t>
      </w:r>
      <w:r>
        <w:rPr>
          <w:rFonts w:hint="eastAsia" w:ascii="仿宋" w:hAnsi="仿宋" w:eastAsia="仿宋"/>
          <w:sz w:val="24"/>
          <w:szCs w:val="21"/>
        </w:rPr>
        <w:t>天。在撤消授权的书面通知以前，本授权书一直有效。被授权人在授权书有效期内签署的所有文件不因授权的撤消而失效。代理人无转委托权。特此声明。</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申请人（盖章）：</w:t>
      </w:r>
    </w:p>
    <w:p>
      <w:pPr>
        <w:snapToGrid w:val="0"/>
        <w:spacing w:line="480" w:lineRule="exact"/>
        <w:ind w:firstLine="360" w:firstLineChars="150"/>
        <w:rPr>
          <w:rFonts w:hint="eastAsia" w:ascii="仿宋" w:hAnsi="仿宋" w:eastAsia="仿宋"/>
          <w:sz w:val="24"/>
          <w:szCs w:val="21"/>
        </w:rPr>
      </w:pPr>
      <w:r>
        <w:rPr>
          <w:rFonts w:hint="eastAsia" w:ascii="仿宋" w:hAnsi="仿宋" w:eastAsia="仿宋"/>
          <w:sz w:val="24"/>
          <w:szCs w:val="21"/>
        </w:rPr>
        <w:t>法定代表人签字或盖章：                           被授权人签字或盖章：</w:t>
      </w:r>
    </w:p>
    <w:p>
      <w:pPr>
        <w:tabs>
          <w:tab w:val="left" w:pos="1440"/>
        </w:tabs>
        <w:snapToGrid w:val="0"/>
        <w:spacing w:line="480" w:lineRule="exact"/>
        <w:rPr>
          <w:rFonts w:hint="eastAsia" w:ascii="仿宋" w:hAnsi="仿宋" w:eastAsia="仿宋"/>
          <w:sz w:val="24"/>
          <w:szCs w:val="21"/>
        </w:rPr>
      </w:pPr>
      <w:r>
        <w:rPr>
          <w:rFonts w:hint="eastAsia" w:ascii="仿宋" w:hAnsi="仿宋" w:eastAsia="仿宋"/>
          <w:sz w:val="24"/>
          <w:szCs w:val="21"/>
        </w:rPr>
        <w:t xml:space="preserve">      年     月     日                           年    月     日</w:t>
      </w:r>
    </w:p>
    <w:p>
      <w:pPr>
        <w:spacing w:line="440" w:lineRule="exact"/>
        <w:rPr>
          <w:rFonts w:hint="eastAsia" w:ascii="仿宋" w:hAnsi="仿宋" w:eastAsia="仿宋"/>
          <w:snapToGrid w:val="0"/>
          <w:sz w:val="24"/>
        </w:rPr>
      </w:pPr>
      <w:r>
        <w:rPr>
          <w:rFonts w:ascii="仿宋" w:hAnsi="仿宋" w:eastAsia="仿宋"/>
          <w:spacing w:val="8"/>
          <w:sz w:val="24"/>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422275</wp:posOffset>
                </wp:positionV>
                <wp:extent cx="2628265" cy="1287780"/>
                <wp:effectExtent l="4445" t="4445" r="19050" b="18415"/>
                <wp:wrapNone/>
                <wp:docPr id="1" name="矩形 1"/>
                <wp:cNvGraphicFramePr/>
                <a:graphic xmlns:a="http://schemas.openxmlformats.org/drawingml/2006/main">
                  <a:graphicData uri="http://schemas.microsoft.com/office/word/2010/wordprocessingShape">
                    <wps:wsp>
                      <wps:cNvSpPr/>
                      <wps:spPr>
                        <a:xfrm>
                          <a:off x="0" y="0"/>
                          <a:ext cx="262826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法定代表人双面身份证复印件</w:t>
                            </w:r>
                          </w:p>
                        </w:txbxContent>
                      </wps:txbx>
                      <wps:bodyPr upright="1"/>
                    </wps:wsp>
                  </a:graphicData>
                </a:graphic>
              </wp:anchor>
            </w:drawing>
          </mc:Choice>
          <mc:Fallback>
            <w:pict>
              <v:rect id="_x0000_s1026" o:spid="_x0000_s1026" o:spt="1" style="position:absolute;left:0pt;margin-left:-8.95pt;margin-top:33.25pt;height:101.4pt;width:206.95pt;z-index:251659264;mso-width-relative:page;mso-height-relative:page;" fillcolor="#FFFFFF" filled="t" stroked="t" coordsize="21600,21600" o:allowincell="f" o:gfxdata="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c29u2AAAAAoBAAAPAAAAAAAAAAEAIAAAACIAAABkcnMv&#10;ZG93bnJldi54bWxQSwECFAAUAAAACACHTuJAy3flvAMCAAAqBAAADgAAAAAAAAABACAAAAAnAQAA&#10;ZHJzL2Uyb0RvYy54bWxQSwUGAAAAAAYABgBZAQAAnAU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法定代表人双面身份证复印件</w:t>
                      </w:r>
                    </w:p>
                  </w:txbxContent>
                </v:textbox>
              </v:rect>
            </w:pict>
          </mc:Fallback>
        </mc:AlternateContent>
      </w:r>
    </w:p>
    <w:p>
      <w:pPr>
        <w:spacing w:line="440" w:lineRule="exact"/>
        <w:rPr>
          <w:rFonts w:hint="eastAsia" w:ascii="仿宋" w:hAnsi="仿宋" w:eastAsia="仿宋"/>
          <w:spacing w:val="8"/>
          <w:sz w:val="24"/>
        </w:rPr>
      </w:pPr>
      <w:r>
        <w:rPr>
          <w:rFonts w:ascii="仿宋" w:hAnsi="仿宋" w:eastAsia="仿宋"/>
          <w:spacing w:val="8"/>
          <w:sz w:val="24"/>
        </w:rPr>
        <mc:AlternateContent>
          <mc:Choice Requires="wps">
            <w:drawing>
              <wp:anchor distT="0" distB="0" distL="114300" distR="114300" simplePos="0" relativeHeight="251660288" behindDoc="0" locked="0" layoutInCell="0" allowOverlap="1">
                <wp:simplePos x="0" y="0"/>
                <wp:positionH relativeFrom="column">
                  <wp:posOffset>2886075</wp:posOffset>
                </wp:positionH>
                <wp:positionV relativeFrom="paragraph">
                  <wp:posOffset>116840</wp:posOffset>
                </wp:positionV>
                <wp:extent cx="2628900" cy="1287780"/>
                <wp:effectExtent l="4445" t="4445" r="18415" b="18415"/>
                <wp:wrapNone/>
                <wp:docPr id="2" name="矩形 2"/>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被授权人双面身份证复印件</w:t>
                            </w:r>
                          </w:p>
                        </w:txbxContent>
                      </wps:txbx>
                      <wps:bodyPr upright="1"/>
                    </wps:wsp>
                  </a:graphicData>
                </a:graphic>
              </wp:anchor>
            </w:drawing>
          </mc:Choice>
          <mc:Fallback>
            <w:pict>
              <v:rect id="_x0000_s1026" o:spid="_x0000_s1026" o:spt="1" style="position:absolute;left:0pt;margin-left:227.25pt;margin-top:9.2pt;height:101.4pt;width:207pt;z-index:251660288;mso-width-relative:page;mso-height-relative:page;" fillcolor="#FFFFFF" filled="t" stroked="t" coordsize="21600,21600" o:allowincell="f" o:gfxdata="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BztHtgAAAAKAQAADwAAAAAAAAABACAAAAAiAAAAZHJz&#10;L2Rvd25yZXYueG1sUEsBAhQAFAAAAAgAh07iQLiO0VkEAgAAKgQAAA4AAAAAAAAAAQAgAAAAJwEA&#10;AGRycy9lMm9Eb2MueG1sUEsFBgAAAAAGAAYAWQEAAJ0FA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被授权人双面身份证复印件</w:t>
                      </w:r>
                    </w:p>
                  </w:txbxContent>
                </v:textbox>
              </v:rect>
            </w:pict>
          </mc:Fallback>
        </mc:AlternateContent>
      </w:r>
    </w:p>
    <w:p>
      <w:pPr>
        <w:spacing w:line="440" w:lineRule="exact"/>
        <w:rPr>
          <w:rFonts w:hint="eastAsia" w:ascii="仿宋" w:hAnsi="仿宋" w:eastAsia="仿宋"/>
          <w:spacing w:val="8"/>
          <w:sz w:val="24"/>
        </w:rPr>
      </w:pPr>
    </w:p>
    <w:p>
      <w:pPr>
        <w:spacing w:line="440" w:lineRule="exact"/>
        <w:rPr>
          <w:rFonts w:hint="eastAsia" w:ascii="仿宋" w:hAnsi="仿宋" w:eastAsia="仿宋"/>
          <w:spacing w:val="8"/>
          <w:sz w:val="24"/>
        </w:rPr>
      </w:pPr>
    </w:p>
    <w:p>
      <w:pPr>
        <w:spacing w:line="440" w:lineRule="exact"/>
        <w:rPr>
          <w:rFonts w:hint="eastAsia" w:ascii="仿宋" w:hAnsi="仿宋" w:eastAsia="仿宋"/>
          <w:snapToGrid w:val="0"/>
          <w:sz w:val="24"/>
        </w:rPr>
      </w:pPr>
    </w:p>
    <w:p>
      <w:pPr>
        <w:spacing w:line="480" w:lineRule="auto"/>
        <w:ind w:firstLine="480" w:firstLineChars="200"/>
        <w:rPr>
          <w:rFonts w:hint="eastAsia" w:ascii="仿宋" w:hAnsi="仿宋" w:eastAsia="仿宋"/>
          <w:sz w:val="24"/>
          <w:szCs w:val="21"/>
        </w:rPr>
      </w:pPr>
    </w:p>
    <w:bookmarkEnd w:id="14"/>
    <w:bookmarkEnd w:id="15"/>
    <w:p>
      <w:pPr>
        <w:pStyle w:val="5"/>
        <w:tabs>
          <w:tab w:val="left" w:pos="6300"/>
        </w:tabs>
        <w:spacing w:line="500" w:lineRule="exact"/>
        <w:rPr>
          <w:rFonts w:ascii="宋体"/>
          <w:sz w:val="21"/>
          <w:szCs w:val="21"/>
        </w:rPr>
      </w:pPr>
      <w:r>
        <w:rPr>
          <w:rFonts w:hint="default" w:ascii="宋体"/>
          <w:sz w:val="21"/>
          <w:szCs w:val="21"/>
        </w:rPr>
        <w:br w:type="page"/>
      </w:r>
    </w:p>
    <w:p>
      <w:pPr>
        <w:numPr>
          <w:ilvl w:val="1"/>
          <w:numId w:val="3"/>
        </w:numPr>
        <w:rPr>
          <w:rFonts w:hint="eastAsia" w:ascii="仿宋_GB2312" w:eastAsia="仿宋_GB2312"/>
          <w:b/>
          <w:color w:val="FF0000"/>
          <w:sz w:val="28"/>
          <w:szCs w:val="28"/>
        </w:rPr>
      </w:pPr>
      <w:bookmarkStart w:id="16" w:name="_Toc306798312"/>
      <w:r>
        <w:rPr>
          <w:rFonts w:hint="eastAsia" w:ascii="仿宋_GB2312" w:eastAsia="仿宋_GB2312"/>
          <w:b/>
          <w:color w:val="FF0000"/>
          <w:sz w:val="28"/>
          <w:szCs w:val="28"/>
        </w:rPr>
        <w:t>入库基本资格条件承诺书</w:t>
      </w:r>
    </w:p>
    <w:p>
      <w:pPr>
        <w:adjustRightInd w:val="0"/>
        <w:snapToGrid w:val="0"/>
        <w:spacing w:line="600" w:lineRule="exact"/>
        <w:ind w:firstLine="2506" w:firstLineChars="895"/>
        <w:rPr>
          <w:rFonts w:hint="eastAsia" w:ascii="方正小标宋_GBK" w:eastAsia="方正小标宋_GBK"/>
          <w:color w:val="FF0000"/>
          <w:sz w:val="28"/>
          <w:szCs w:val="28"/>
        </w:rPr>
      </w:pPr>
      <w:r>
        <w:rPr>
          <w:rFonts w:hint="eastAsia" w:ascii="方正小标宋_GBK" w:eastAsia="方正小标宋_GBK"/>
          <w:color w:val="FF0000"/>
          <w:sz w:val="28"/>
          <w:szCs w:val="28"/>
        </w:rPr>
        <w:t>入库基本资格条件承诺书</w:t>
      </w:r>
    </w:p>
    <w:p>
      <w:pPr>
        <w:adjustRightInd w:val="0"/>
        <w:snapToGrid w:val="0"/>
        <w:spacing w:line="500" w:lineRule="exact"/>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重庆银行股份有限公司：</w:t>
      </w:r>
    </w:p>
    <w:p>
      <w:pPr>
        <w:adjustRightInd w:val="0"/>
        <w:snapToGrid w:val="0"/>
        <w:spacing w:line="600" w:lineRule="exact"/>
        <w:ind w:firstLine="480" w:firstLineChars="20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我单位作为申请人郑重承诺如下：</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1、投标截止日前两年内，投标人或其法定代表人</w:t>
      </w:r>
      <w:r>
        <w:rPr>
          <w:rFonts w:hint="eastAsia" w:ascii="方正仿宋_GBK" w:hAnsi="宋体" w:eastAsia="方正仿宋_GBK" w:cs="MingLiU"/>
          <w:snapToGrid w:val="0"/>
          <w:color w:val="FF0000"/>
          <w:kern w:val="0"/>
          <w:position w:val="-2"/>
          <w:sz w:val="24"/>
          <w:lang w:val="en-US" w:eastAsia="zh-CN"/>
        </w:rPr>
        <w:t>未</w:t>
      </w:r>
      <w:r>
        <w:rPr>
          <w:rFonts w:hint="eastAsia" w:ascii="方正仿宋_GBK" w:hAnsi="宋体" w:eastAsia="方正仿宋_GBK" w:cs="MingLiU"/>
          <w:snapToGrid w:val="0"/>
          <w:color w:val="FF0000"/>
          <w:kern w:val="0"/>
          <w:position w:val="-2"/>
          <w:sz w:val="24"/>
        </w:rPr>
        <w:t>被人民法院判定犯行贿罪的；</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2、</w:t>
      </w:r>
      <w:r>
        <w:rPr>
          <w:rFonts w:hint="eastAsia" w:ascii="方正仿宋_GBK" w:hAnsi="宋体" w:eastAsia="方正仿宋_GBK" w:cs="MingLiU"/>
          <w:snapToGrid w:val="0"/>
          <w:color w:val="FF0000"/>
          <w:kern w:val="0"/>
          <w:position w:val="-2"/>
          <w:sz w:val="24"/>
          <w:lang w:val="en-US" w:eastAsia="zh-CN"/>
        </w:rPr>
        <w:t>未</w:t>
      </w:r>
      <w:r>
        <w:rPr>
          <w:rFonts w:hint="eastAsia" w:ascii="方正仿宋_GBK" w:hAnsi="宋体" w:eastAsia="方正仿宋_GBK" w:cs="MingLiU"/>
          <w:snapToGrid w:val="0"/>
          <w:color w:val="FF0000"/>
          <w:kern w:val="0"/>
          <w:position w:val="-2"/>
          <w:sz w:val="24"/>
        </w:rPr>
        <w:t>被纳入失信惩戒名单的；</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3、</w:t>
      </w:r>
      <w:r>
        <w:rPr>
          <w:rFonts w:hint="eastAsia" w:ascii="方正仿宋_GBK" w:hAnsi="宋体" w:eastAsia="方正仿宋_GBK" w:cs="MingLiU"/>
          <w:snapToGrid w:val="0"/>
          <w:color w:val="FF0000"/>
          <w:kern w:val="0"/>
          <w:position w:val="-2"/>
          <w:sz w:val="24"/>
          <w:lang w:val="en-US" w:eastAsia="zh-CN"/>
        </w:rPr>
        <w:t>不存在</w:t>
      </w:r>
      <w:r>
        <w:rPr>
          <w:rFonts w:hint="eastAsia" w:ascii="方正仿宋_GBK" w:hAnsi="宋体" w:eastAsia="方正仿宋_GBK" w:cs="MingLiU"/>
          <w:snapToGrid w:val="0"/>
          <w:color w:val="FF0000"/>
          <w:kern w:val="0"/>
          <w:position w:val="-2"/>
          <w:sz w:val="24"/>
        </w:rPr>
        <w:t>偷逃税款，受到税务部门相关行政处罚的；</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4、未被人民法院列为失信被执行人且在执行期内；</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申请人：</w:t>
      </w:r>
      <w:r>
        <w:rPr>
          <w:rFonts w:hint="eastAsia" w:ascii="方正仿宋_GBK" w:hAnsi="宋体" w:eastAsia="方正仿宋_GBK" w:cs="MingLiU"/>
          <w:snapToGrid w:val="0"/>
          <w:color w:val="FF0000"/>
          <w:kern w:val="0"/>
          <w:position w:val="-2"/>
          <w:sz w:val="24"/>
          <w:u w:val="single"/>
        </w:rPr>
        <w:t xml:space="preserve">                </w:t>
      </w:r>
      <w:r>
        <w:rPr>
          <w:rFonts w:hint="eastAsia" w:ascii="方正仿宋_GBK" w:hAnsi="宋体" w:eastAsia="方正仿宋_GBK" w:cs="MingLiU"/>
          <w:snapToGrid w:val="0"/>
          <w:color w:val="FF0000"/>
          <w:kern w:val="0"/>
          <w:position w:val="-2"/>
          <w:sz w:val="24"/>
        </w:rPr>
        <w:t>（盖章）</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宋体"/>
          <w:color w:val="FF0000"/>
          <w:sz w:val="24"/>
        </w:rPr>
      </w:pPr>
      <w:r>
        <w:rPr>
          <w:rFonts w:hint="eastAsia" w:ascii="方正仿宋_GBK" w:hAnsi="宋体" w:eastAsia="方正仿宋_GBK" w:cs="MingLiU"/>
          <w:snapToGrid w:val="0"/>
          <w:color w:val="FF0000"/>
          <w:kern w:val="0"/>
          <w:position w:val="-2"/>
          <w:sz w:val="24"/>
        </w:rPr>
        <w:t>法定代表人/被授权人签字或盖章 :</w:t>
      </w:r>
      <w:r>
        <w:rPr>
          <w:rFonts w:hint="eastAsia" w:ascii="宋体"/>
          <w:color w:val="FF0000"/>
          <w:sz w:val="24"/>
        </w:rPr>
        <w:t xml:space="preserve">  </w:t>
      </w:r>
      <w:r>
        <w:rPr>
          <w:rFonts w:hint="eastAsia" w:ascii="方正仿宋_GBK" w:hAnsi="宋体" w:eastAsia="方正仿宋_GBK" w:cs="MingLiU"/>
          <w:snapToGrid w:val="0"/>
          <w:color w:val="FF0000"/>
          <w:kern w:val="0"/>
          <w:position w:val="-2"/>
          <w:sz w:val="24"/>
          <w:u w:val="single"/>
        </w:rPr>
        <w:t xml:space="preserve">                </w:t>
      </w:r>
      <w:r>
        <w:rPr>
          <w:rFonts w:hint="eastAsia" w:ascii="宋体"/>
          <w:color w:val="FF0000"/>
          <w:sz w:val="24"/>
        </w:rPr>
        <w:t xml:space="preserve"> </w:t>
      </w:r>
    </w:p>
    <w:p>
      <w:pPr>
        <w:tabs>
          <w:tab w:val="left" w:pos="1440"/>
        </w:tabs>
        <w:spacing w:line="480" w:lineRule="auto"/>
        <w:rPr>
          <w:rFonts w:hint="eastAsia" w:ascii="宋体"/>
          <w:color w:val="FF0000"/>
          <w:sz w:val="24"/>
        </w:rPr>
      </w:pPr>
      <w:r>
        <w:rPr>
          <w:rFonts w:hint="eastAsia" w:ascii="宋体"/>
          <w:color w:val="FF0000"/>
          <w:sz w:val="24"/>
        </w:rPr>
        <w:t xml:space="preserve">     </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 xml:space="preserve">                                     年   月  日   </w:t>
      </w:r>
    </w:p>
    <w:p>
      <w:pPr>
        <w:adjustRightInd w:val="0"/>
        <w:snapToGrid w:val="0"/>
        <w:spacing w:line="500" w:lineRule="exact"/>
        <w:ind w:left="560"/>
        <w:rPr>
          <w:rFonts w:hint="eastAsia" w:ascii="方正仿宋_GBK" w:hAnsi="宋体" w:eastAsia="方正仿宋_GBK" w:cs="MingLiU"/>
          <w:snapToGrid w:val="0"/>
          <w:color w:val="000000"/>
          <w:kern w:val="0"/>
          <w:position w:val="-2"/>
          <w:sz w:val="24"/>
        </w:rPr>
      </w:pPr>
    </w:p>
    <w:p>
      <w:pPr>
        <w:adjustRightInd w:val="0"/>
        <w:snapToGrid w:val="0"/>
        <w:spacing w:line="500" w:lineRule="exact"/>
        <w:ind w:left="560"/>
        <w:rPr>
          <w:rFonts w:ascii="方正仿宋_GBK" w:hAnsi="宋体" w:eastAsia="方正仿宋_GBK" w:cs="MingLiU"/>
          <w:snapToGrid w:val="0"/>
          <w:color w:val="000000"/>
          <w:kern w:val="0"/>
          <w:position w:val="-2"/>
          <w:sz w:val="24"/>
        </w:rPr>
      </w:pPr>
    </w:p>
    <w:p>
      <w:pPr>
        <w:numPr>
          <w:ilvl w:val="1"/>
          <w:numId w:val="3"/>
        </w:numPr>
        <w:rPr>
          <w:rFonts w:hint="eastAsia" w:ascii="仿宋_GB2312" w:eastAsia="仿宋_GB2312"/>
          <w:b/>
          <w:sz w:val="28"/>
          <w:szCs w:val="28"/>
        </w:rPr>
      </w:pPr>
      <w:r>
        <w:rPr>
          <w:rFonts w:ascii="方正仿宋_GBK" w:hAnsi="宋体" w:eastAsia="方正仿宋_GBK" w:cs="MingLiU"/>
          <w:snapToGrid w:val="0"/>
          <w:color w:val="000000"/>
          <w:kern w:val="0"/>
          <w:position w:val="-2"/>
          <w:sz w:val="28"/>
          <w:szCs w:val="28"/>
        </w:rPr>
        <w:br w:type="page"/>
      </w:r>
      <w:r>
        <w:rPr>
          <w:rFonts w:hint="eastAsia" w:ascii="仿宋_GB2312" w:eastAsia="仿宋_GB2312"/>
          <w:b/>
          <w:sz w:val="28"/>
          <w:szCs w:val="28"/>
        </w:rPr>
        <w:t>详细评审材料一览表</w:t>
      </w:r>
    </w:p>
    <w:p>
      <w:pPr>
        <w:jc w:val="center"/>
        <w:rPr>
          <w:rFonts w:hint="eastAsia" w:ascii="仿宋_GB2312" w:eastAsia="仿宋_GB2312"/>
          <w:b/>
          <w:sz w:val="28"/>
          <w:szCs w:val="28"/>
        </w:rPr>
      </w:pPr>
      <w:r>
        <w:rPr>
          <w:rFonts w:hint="eastAsia" w:ascii="仿宋_GB2312" w:eastAsia="仿宋_GB2312"/>
          <w:b/>
          <w:sz w:val="28"/>
          <w:szCs w:val="28"/>
        </w:rPr>
        <w:t>详细评审材料一览表</w:t>
      </w:r>
    </w:p>
    <w:tbl>
      <w:tblPr>
        <w:tblStyle w:val="9"/>
        <w:tblW w:w="97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85"/>
        <w:gridCol w:w="5310"/>
        <w:gridCol w:w="141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21" w:type="dxa"/>
            <w:noWrap w:val="0"/>
            <w:vAlign w:val="center"/>
          </w:tcPr>
          <w:p>
            <w:pPr>
              <w:spacing w:line="40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eastAsia="zh-CN"/>
              </w:rPr>
              <w:t>序号</w:t>
            </w:r>
          </w:p>
        </w:tc>
        <w:tc>
          <w:tcPr>
            <w:tcW w:w="885" w:type="dxa"/>
            <w:noWrap w:val="0"/>
            <w:vAlign w:val="center"/>
          </w:tcPr>
          <w:p>
            <w:pPr>
              <w:spacing w:line="40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rPr>
              <w:t>评</w:t>
            </w:r>
            <w:r>
              <w:rPr>
                <w:rFonts w:hint="eastAsia" w:ascii="方正仿宋_GBK" w:hAnsi="方正仿宋_GBK" w:eastAsia="方正仿宋_GBK" w:cs="方正仿宋_GBK"/>
                <w:sz w:val="24"/>
                <w:lang w:eastAsia="zh-CN"/>
              </w:rPr>
              <w:t>分因素</w:t>
            </w:r>
          </w:p>
        </w:tc>
        <w:tc>
          <w:tcPr>
            <w:tcW w:w="5310"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w:t>
            </w:r>
            <w:r>
              <w:rPr>
                <w:rFonts w:hint="eastAsia" w:ascii="方正仿宋_GBK" w:hAnsi="方正仿宋_GBK" w:eastAsia="方正仿宋_GBK" w:cs="方正仿宋_GBK"/>
                <w:sz w:val="24"/>
                <w:lang w:eastAsia="zh-CN"/>
              </w:rPr>
              <w:t>分</w:t>
            </w:r>
            <w:r>
              <w:rPr>
                <w:rFonts w:hint="eastAsia" w:ascii="方正仿宋_GBK" w:hAnsi="方正仿宋_GBK" w:eastAsia="方正仿宋_GBK" w:cs="方正仿宋_GBK"/>
                <w:sz w:val="24"/>
              </w:rPr>
              <w:t>标准</w:t>
            </w:r>
          </w:p>
        </w:tc>
        <w:tc>
          <w:tcPr>
            <w:tcW w:w="1410" w:type="dxa"/>
            <w:noWrap w:val="0"/>
            <w:vAlign w:val="center"/>
          </w:tcPr>
          <w:p>
            <w:pPr>
              <w:spacing w:line="400" w:lineRule="exact"/>
              <w:jc w:val="center"/>
              <w:rPr>
                <w:rFonts w:hint="eastAsia" w:ascii="方正仿宋_GBK" w:hAnsi="方正仿宋_GBK" w:eastAsia="方正仿宋_GBK" w:cs="方正仿宋_GBK"/>
                <w:sz w:val="24"/>
              </w:rPr>
            </w:pPr>
            <w:r>
              <w:rPr>
                <w:rFonts w:hint="eastAsia" w:ascii="方正黑体_GBK" w:eastAsia="方正黑体_GBK"/>
                <w:szCs w:val="21"/>
                <w:lang w:eastAsia="zh-CN"/>
              </w:rPr>
              <w:t>竞选文件</w:t>
            </w:r>
            <w:r>
              <w:rPr>
                <w:rFonts w:hint="eastAsia" w:ascii="方正黑体_GBK" w:eastAsia="方正黑体_GBK"/>
                <w:szCs w:val="21"/>
              </w:rPr>
              <w:t>的应答</w:t>
            </w:r>
          </w:p>
        </w:tc>
        <w:tc>
          <w:tcPr>
            <w:tcW w:w="1415" w:type="dxa"/>
            <w:noWrap w:val="0"/>
            <w:vAlign w:val="center"/>
          </w:tcPr>
          <w:p>
            <w:pPr>
              <w:spacing w:line="400" w:lineRule="exact"/>
              <w:jc w:val="center"/>
              <w:rPr>
                <w:rFonts w:hint="eastAsia" w:ascii="方正仿宋_GBK" w:hAnsi="方正仿宋_GBK" w:eastAsia="方正仿宋_GBK" w:cs="方正仿宋_GBK"/>
                <w:sz w:val="24"/>
              </w:rPr>
            </w:pPr>
            <w:r>
              <w:rPr>
                <w:rFonts w:hint="eastAsia" w:ascii="方正黑体_GBK" w:eastAsia="方正黑体_GBK"/>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2" w:hRule="atLeast"/>
        </w:trPr>
        <w:tc>
          <w:tcPr>
            <w:tcW w:w="721" w:type="dxa"/>
            <w:noWrap w:val="0"/>
            <w:vAlign w:val="center"/>
          </w:tcPr>
          <w:p>
            <w:pPr>
              <w:spacing w:line="40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1</w:t>
            </w:r>
          </w:p>
        </w:tc>
        <w:tc>
          <w:tcPr>
            <w:tcW w:w="885" w:type="dxa"/>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服务方案</w:t>
            </w:r>
          </w:p>
        </w:tc>
        <w:tc>
          <w:tcPr>
            <w:tcW w:w="531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lang w:val="en-US" w:eastAsia="zh-CN"/>
              </w:rPr>
              <w:t>（一）</w:t>
            </w:r>
            <w:r>
              <w:rPr>
                <w:rFonts w:hint="eastAsia" w:ascii="仿宋" w:hAnsi="仿宋" w:eastAsia="仿宋"/>
                <w:color w:val="000000"/>
                <w:sz w:val="23"/>
                <w:szCs w:val="24"/>
              </w:rPr>
              <w:t xml:space="preserve">可行性建议及完整性（20分）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1.针对重庆银行项目从施工的角度提出合理化建议的可行性，拟采取的管理服务办法：根据银行项目的特点和需求制定的内部管理办法、项目管理措施。（10分）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优得8-10分，良4-7分，一般1-3分，差为0分。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2.内容完整性和编制水平（5分）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优得5分，良3-4分，一般1-2分，差为0分。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3.提供增值服务承诺，能满足我行个性化服务的需求。（5分）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优得5分，良3-4分，一般1-2分，差为0分。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lang w:val="en-US" w:eastAsia="zh-CN"/>
              </w:rPr>
              <w:t>（二）</w:t>
            </w:r>
            <w:r>
              <w:rPr>
                <w:rFonts w:hint="eastAsia" w:ascii="仿宋" w:hAnsi="仿宋" w:eastAsia="仿宋"/>
                <w:color w:val="000000"/>
                <w:sz w:val="23"/>
                <w:szCs w:val="24"/>
              </w:rPr>
              <w:t xml:space="preserve">重庆银行项目团队组织结构及人员情况（10分）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1.组织架构情况：部门分工明确，设置合理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2.人员配备是否科学合理 </w:t>
            </w:r>
          </w:p>
          <w:p>
            <w:pPr>
              <w:keepNext w:val="0"/>
              <w:keepLines w:val="0"/>
              <w:pageBreakBefore w:val="0"/>
              <w:kinsoku/>
              <w:wordWrap/>
              <w:overflowPunct/>
              <w:topLinePunct w:val="0"/>
              <w:autoSpaceDE/>
              <w:autoSpaceDN/>
              <w:bidi w:val="0"/>
              <w:adjustRightInd/>
              <w:snapToGrid/>
              <w:spacing w:beforeLines="0" w:afterLines="0" w:line="240" w:lineRule="auto"/>
              <w:jc w:val="left"/>
              <w:textAlignment w:val="auto"/>
              <w:rPr>
                <w:rFonts w:hint="eastAsia" w:ascii="仿宋" w:hAnsi="仿宋" w:eastAsia="仿宋"/>
                <w:color w:val="000000"/>
                <w:sz w:val="23"/>
                <w:szCs w:val="24"/>
              </w:rPr>
            </w:pPr>
            <w:r>
              <w:rPr>
                <w:rFonts w:hint="eastAsia" w:ascii="仿宋" w:hAnsi="仿宋" w:eastAsia="仿宋"/>
                <w:color w:val="000000"/>
                <w:sz w:val="23"/>
                <w:szCs w:val="24"/>
              </w:rPr>
              <w:t xml:space="preserve">3.组织机构和岗位职责:是否符合项目特点 </w:t>
            </w:r>
          </w:p>
          <w:p>
            <w:pPr>
              <w:spacing w:line="240" w:lineRule="auto"/>
              <w:rPr>
                <w:rFonts w:ascii="方正仿宋_GBK" w:hAnsi="方正仿宋_GBK" w:eastAsia="方正仿宋_GBK" w:cs="方正仿宋_GBK"/>
                <w:sz w:val="24"/>
                <w:lang w:bidi="ar"/>
              </w:rPr>
            </w:pPr>
            <w:r>
              <w:rPr>
                <w:rFonts w:hint="eastAsia" w:ascii="仿宋" w:hAnsi="仿宋" w:eastAsia="仿宋"/>
                <w:color w:val="000000"/>
                <w:sz w:val="23"/>
                <w:szCs w:val="24"/>
              </w:rPr>
              <w:t xml:space="preserve">优得8-10分，良4-7分，一般1-3分，差为0分 </w:t>
            </w:r>
          </w:p>
        </w:tc>
        <w:tc>
          <w:tcPr>
            <w:tcW w:w="1410" w:type="dxa"/>
            <w:noWrap w:val="0"/>
            <w:vAlign w:val="center"/>
          </w:tcPr>
          <w:p>
            <w:pPr>
              <w:spacing w:line="240" w:lineRule="auto"/>
              <w:rPr>
                <w:rFonts w:hint="eastAsia" w:ascii="仿宋" w:hAnsi="仿宋" w:eastAsia="仿宋"/>
                <w:color w:val="000000"/>
                <w:sz w:val="24"/>
                <w:szCs w:val="24"/>
              </w:rPr>
            </w:pPr>
          </w:p>
        </w:tc>
        <w:tc>
          <w:tcPr>
            <w:tcW w:w="1415" w:type="dxa"/>
            <w:noWrap w:val="0"/>
            <w:vAlign w:val="center"/>
          </w:tcPr>
          <w:p>
            <w:pPr>
              <w:spacing w:line="240" w:lineRule="auto"/>
              <w:rPr>
                <w:rFonts w:hint="eastAsia" w:ascii="仿宋" w:hAnsi="仿宋" w:eastAsia="仿宋"/>
                <w:color w:val="000000"/>
                <w:sz w:val="24"/>
                <w:szCs w:val="24"/>
              </w:rPr>
            </w:pPr>
            <w:r>
              <w:rPr>
                <w:rFonts w:hint="eastAsia" w:ascii="方正仿宋_GBK" w:eastAsia="方正仿宋_GBK"/>
                <w:szCs w:val="21"/>
              </w:rPr>
              <w:t>详见入库</w:t>
            </w:r>
            <w:r>
              <w:rPr>
                <w:rFonts w:hint="eastAsia" w:ascii="方正仿宋_GBK" w:eastAsia="方正仿宋_GBK"/>
                <w:szCs w:val="21"/>
                <w:lang w:eastAsia="zh-CN"/>
              </w:rPr>
              <w:t>竞选文件</w:t>
            </w:r>
            <w:r>
              <w:rPr>
                <w:rFonts w:hint="eastAsia" w:ascii="方正仿宋_GBK" w:eastAsia="方正仿宋_GBK"/>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trPr>
        <w:tc>
          <w:tcPr>
            <w:tcW w:w="721" w:type="dxa"/>
            <w:noWrap w:val="0"/>
            <w:vAlign w:val="center"/>
          </w:tcPr>
          <w:p>
            <w:pPr>
              <w:spacing w:line="400" w:lineRule="exact"/>
              <w:jc w:val="center"/>
              <w:rPr>
                <w:rFonts w:hint="default"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2</w:t>
            </w:r>
          </w:p>
        </w:tc>
        <w:tc>
          <w:tcPr>
            <w:tcW w:w="885" w:type="dxa"/>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企业信用</w:t>
            </w:r>
          </w:p>
        </w:tc>
        <w:tc>
          <w:tcPr>
            <w:tcW w:w="5310" w:type="dxa"/>
            <w:noWrap w:val="0"/>
            <w:vAlign w:val="center"/>
          </w:tcPr>
          <w:p>
            <w:pPr>
              <w:spacing w:line="400" w:lineRule="exact"/>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评审内容</w:t>
            </w:r>
          </w:p>
          <w:p>
            <w:pPr>
              <w:spacing w:beforeLines="0" w:afterLines="0" w:line="240" w:lineRule="auto"/>
              <w:jc w:val="left"/>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 xml:space="preserve"> 由供应商提供截止入库征集文件发出日“信用中国”和“中国执行信息公开网”网站的截图，行政处罚项无处罚记录得10分。行政处罚有一次记录扣1分，5次（不含）记录以上扣10分。 </w:t>
            </w:r>
          </w:p>
          <w:p>
            <w:pPr>
              <w:spacing w:beforeLines="0" w:afterLines="0" w:line="240" w:lineRule="auto"/>
              <w:jc w:val="left"/>
              <w:rPr>
                <w:rFonts w:ascii="方正仿宋_GBK" w:hAnsi="方正仿宋_GBK" w:eastAsia="方正仿宋_GBK" w:cs="方正仿宋_GBK"/>
                <w:sz w:val="24"/>
              </w:rPr>
            </w:pPr>
            <w:r>
              <w:rPr>
                <w:rFonts w:hint="eastAsia" w:ascii="仿宋" w:hAnsi="仿宋" w:eastAsia="仿宋" w:cs="Times New Roman"/>
                <w:color w:val="000000"/>
                <w:sz w:val="24"/>
                <w:szCs w:val="24"/>
              </w:rPr>
              <w:t>查询方式：进入信用中国网站www.creditchina.gov.cn，右上角查询框中输入企业名字查询，在查询结果中找到对应企业，下载信用信息报告。（提示：下载的信息报告为PDF格式，右上角应有二维码校验码。加盖投标单位公章）</w:t>
            </w:r>
          </w:p>
        </w:tc>
        <w:tc>
          <w:tcPr>
            <w:tcW w:w="1410" w:type="dxa"/>
            <w:noWrap w:val="0"/>
            <w:vAlign w:val="center"/>
          </w:tcPr>
          <w:p>
            <w:pPr>
              <w:spacing w:line="400" w:lineRule="exact"/>
              <w:jc w:val="left"/>
              <w:rPr>
                <w:rFonts w:hint="eastAsia" w:ascii="方正仿宋_GBK" w:hAnsi="方正仿宋_GBK" w:eastAsia="方正仿宋_GBK" w:cs="方正仿宋_GBK"/>
                <w:sz w:val="24"/>
              </w:rPr>
            </w:pPr>
          </w:p>
        </w:tc>
        <w:tc>
          <w:tcPr>
            <w:tcW w:w="1415" w:type="dxa"/>
            <w:noWrap w:val="0"/>
            <w:vAlign w:val="center"/>
          </w:tcPr>
          <w:p>
            <w:pPr>
              <w:spacing w:line="400" w:lineRule="exact"/>
              <w:jc w:val="lef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1" w:type="dxa"/>
            <w:noWrap w:val="0"/>
            <w:vAlign w:val="center"/>
          </w:tcPr>
          <w:p>
            <w:pPr>
              <w:spacing w:line="40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3</w:t>
            </w:r>
          </w:p>
        </w:tc>
        <w:tc>
          <w:tcPr>
            <w:tcW w:w="885" w:type="dxa"/>
            <w:noWrap w:val="0"/>
            <w:vAlign w:val="center"/>
          </w:tcPr>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企业资质</w:t>
            </w:r>
          </w:p>
        </w:tc>
        <w:tc>
          <w:tcPr>
            <w:tcW w:w="5310" w:type="dxa"/>
            <w:noWrap w:val="0"/>
            <w:vAlign w:val="center"/>
          </w:tcPr>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（一）企业具有建筑行政主管部分颁发的建筑幕墙工程专业承包一级资质得4分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（二）企业具有建筑行政主管部门颁发的消防设施工程专业承包一级得5分，二级得3分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（三）企业具有建筑行政主管部门颁发的建筑机电安装工程专业承包二级或以上得5分，三级得3分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（四）企业具有建筑行政主管部门颁发的建筑工程施工总承包资质（不区分等级）得5分 (提供证书复印件，加盖投标单位公章) ； </w:t>
            </w:r>
          </w:p>
          <w:p>
            <w:pPr>
              <w:spacing w:line="4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（五）具备有效的环境管理体系认证证书得3分,具备有效的职业健康安全管理证书得3分（提供证书复印件及中国国家认证认可监督管理委员会网站查询截图并加盖投标单位公章）。。</w:t>
            </w:r>
          </w:p>
        </w:tc>
        <w:tc>
          <w:tcPr>
            <w:tcW w:w="1410" w:type="dxa"/>
            <w:noWrap w:val="0"/>
            <w:vAlign w:val="center"/>
          </w:tcPr>
          <w:p>
            <w:pPr>
              <w:spacing w:line="400" w:lineRule="exact"/>
              <w:jc w:val="center"/>
              <w:rPr>
                <w:rFonts w:hint="eastAsia" w:ascii="方正仿宋_GBK" w:hAnsi="方正仿宋_GBK" w:eastAsia="方正仿宋_GBK" w:cs="方正仿宋_GBK"/>
                <w:sz w:val="24"/>
              </w:rPr>
            </w:pPr>
          </w:p>
        </w:tc>
        <w:tc>
          <w:tcPr>
            <w:tcW w:w="1415" w:type="dxa"/>
            <w:noWrap w:val="0"/>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1" w:type="dxa"/>
            <w:noWrap w:val="0"/>
            <w:vAlign w:val="center"/>
          </w:tcPr>
          <w:p>
            <w:pPr>
              <w:widowControl/>
              <w:spacing w:line="400" w:lineRule="exact"/>
              <w:jc w:val="center"/>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4</w:t>
            </w:r>
          </w:p>
        </w:tc>
        <w:tc>
          <w:tcPr>
            <w:tcW w:w="885" w:type="dxa"/>
            <w:noWrap w:val="0"/>
            <w:vAlign w:val="center"/>
          </w:tcPr>
          <w:p>
            <w:pPr>
              <w:widowControl/>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服务能力</w:t>
            </w:r>
          </w:p>
        </w:tc>
        <w:tc>
          <w:tcPr>
            <w:tcW w:w="5310" w:type="dxa"/>
            <w:noWrap w:val="0"/>
            <w:vAlign w:val="center"/>
          </w:tcPr>
          <w:p>
            <w:pPr>
              <w:pStyle w:val="4"/>
              <w:spacing w:line="400" w:lineRule="exact"/>
              <w:ind w:firstLine="48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 xml:space="preserve">（一）企业具有建筑专业类注册建造师10（含）人以上得6分，5（含）-10（不含）人得4分，2（含）-5（不含）人得2分，2人以下不得分。 </w:t>
            </w:r>
          </w:p>
          <w:p>
            <w:pPr>
              <w:pStyle w:val="4"/>
              <w:spacing w:line="400" w:lineRule="exact"/>
              <w:ind w:firstLine="48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 xml:space="preserve">（二）企业持有岗位证书的施工现场管理人员20（含）人以上得4分，10（含）-20（不含）人得2分，10（不含）人以下不得分。 </w:t>
            </w:r>
          </w:p>
          <w:p>
            <w:pPr>
              <w:pStyle w:val="4"/>
              <w:spacing w:line="400" w:lineRule="exact"/>
              <w:ind w:firstLine="480"/>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 xml:space="preserve">提供上述人员征集招标文件发出之日前3个月的企业所在地养老保险缴费记录证明并加盖公章。 </w:t>
            </w:r>
          </w:p>
          <w:p>
            <w:pPr>
              <w:pStyle w:val="4"/>
              <w:spacing w:line="400" w:lineRule="exact"/>
              <w:ind w:firstLine="480"/>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提供上述人员证书复印件并加盖公章。</w:t>
            </w:r>
          </w:p>
        </w:tc>
        <w:tc>
          <w:tcPr>
            <w:tcW w:w="1410" w:type="dxa"/>
            <w:noWrap w:val="0"/>
            <w:vAlign w:val="center"/>
          </w:tcPr>
          <w:p>
            <w:pPr>
              <w:pStyle w:val="4"/>
              <w:spacing w:line="400" w:lineRule="exact"/>
              <w:ind w:firstLine="480"/>
              <w:rPr>
                <w:rFonts w:hint="eastAsia" w:ascii="方正仿宋_GBK" w:hAnsi="方正仿宋_GBK" w:eastAsia="方正仿宋_GBK" w:cs="方正仿宋_GBK"/>
                <w:color w:val="auto"/>
                <w:sz w:val="24"/>
              </w:rPr>
            </w:pPr>
          </w:p>
        </w:tc>
        <w:tc>
          <w:tcPr>
            <w:tcW w:w="1415" w:type="dxa"/>
            <w:noWrap w:val="0"/>
            <w:vAlign w:val="center"/>
          </w:tcPr>
          <w:p>
            <w:pPr>
              <w:pStyle w:val="4"/>
              <w:spacing w:line="400" w:lineRule="exact"/>
              <w:ind w:firstLine="480"/>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21" w:type="dxa"/>
            <w:noWrap w:val="0"/>
            <w:vAlign w:val="center"/>
          </w:tcPr>
          <w:p>
            <w:pPr>
              <w:spacing w:line="400" w:lineRule="exact"/>
              <w:jc w:val="center"/>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5</w:t>
            </w:r>
          </w:p>
        </w:tc>
        <w:tc>
          <w:tcPr>
            <w:tcW w:w="885" w:type="dxa"/>
            <w:noWrap w:val="0"/>
            <w:vAlign w:val="center"/>
          </w:tcPr>
          <w:p>
            <w:pPr>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项目业绩</w:t>
            </w:r>
          </w:p>
        </w:tc>
        <w:tc>
          <w:tcPr>
            <w:tcW w:w="5310" w:type="dxa"/>
            <w:noWrap w:val="0"/>
            <w:vAlign w:val="center"/>
          </w:tcPr>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根据供应商2020年1月1日至入库征集文件发出日期间公共建筑装饰装修项目业绩进行打分：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（一）每提供1份合同金额200万元（含）及以上装饰装修工程业绩得5分；该项最多得25分。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（二）每提供1份合同金额100万（含）-200万元（不含）装饰装修工程业绩得3分；该项最多得10分。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（三）每提供1份合同金额50万（含）-100万元（不含）装饰装修工程业绩得1分；该项最多得5分。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（四）以上三项累计积分，累计最高不超过25分。 </w:t>
            </w:r>
          </w:p>
          <w:p>
            <w:pPr>
              <w:spacing w:line="400" w:lineRule="exact"/>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（提供合同复印件并加盖投标单位公章，业绩时间以合同签订时间为准）。 </w:t>
            </w:r>
          </w:p>
        </w:tc>
        <w:tc>
          <w:tcPr>
            <w:tcW w:w="1410" w:type="dxa"/>
            <w:noWrap w:val="0"/>
            <w:vAlign w:val="center"/>
          </w:tcPr>
          <w:p>
            <w:pPr>
              <w:spacing w:line="400" w:lineRule="exact"/>
              <w:jc w:val="center"/>
              <w:rPr>
                <w:rFonts w:hint="eastAsia" w:ascii="方正仿宋_GBK" w:hAnsi="方正仿宋_GBK" w:eastAsia="方正仿宋_GBK" w:cs="方正仿宋_GBK"/>
                <w:color w:val="auto"/>
                <w:sz w:val="24"/>
              </w:rPr>
            </w:pPr>
          </w:p>
        </w:tc>
        <w:tc>
          <w:tcPr>
            <w:tcW w:w="1415" w:type="dxa"/>
            <w:noWrap w:val="0"/>
            <w:vAlign w:val="center"/>
          </w:tcPr>
          <w:p>
            <w:pPr>
              <w:spacing w:line="400" w:lineRule="exact"/>
              <w:jc w:val="center"/>
              <w:rPr>
                <w:rFonts w:hint="eastAsia" w:ascii="方正仿宋_GBK" w:hAnsi="方正仿宋_GBK" w:eastAsia="方正仿宋_GBK" w:cs="方正仿宋_GBK"/>
                <w:color w:val="auto"/>
                <w:sz w:val="24"/>
              </w:rPr>
            </w:pPr>
          </w:p>
        </w:tc>
      </w:tr>
    </w:tbl>
    <w:p>
      <w:pPr>
        <w:pStyle w:val="2"/>
        <w:rPr>
          <w:rFonts w:hint="eastAsia" w:ascii="仿宋_GB2312" w:eastAsia="仿宋_GB2312"/>
          <w:b w:val="0"/>
          <w:sz w:val="28"/>
          <w:szCs w:val="28"/>
        </w:rPr>
      </w:pPr>
    </w:p>
    <w:p>
      <w:pPr>
        <w:rPr>
          <w:rFonts w:hint="eastAsia"/>
        </w:rPr>
      </w:pPr>
    </w:p>
    <w:p>
      <w:pPr>
        <w:spacing w:line="360" w:lineRule="auto"/>
        <w:ind w:firstLine="480" w:firstLineChars="200"/>
        <w:rPr>
          <w:rFonts w:hint="eastAsia" w:eastAsia="方正仿宋_GBK"/>
          <w:sz w:val="24"/>
        </w:rPr>
      </w:pPr>
      <w:r>
        <w:rPr>
          <w:rFonts w:hint="eastAsia" w:eastAsia="方正仿宋_GBK"/>
          <w:sz w:val="24"/>
        </w:rPr>
        <w:t>说明1：该表可扩展。</w:t>
      </w:r>
    </w:p>
    <w:p>
      <w:pPr>
        <w:adjustRightInd w:val="0"/>
        <w:snapToGrid w:val="0"/>
        <w:spacing w:line="500" w:lineRule="exact"/>
        <w:ind w:left="560"/>
        <w:rPr>
          <w:rFonts w:hint="eastAsia" w:ascii="方正仿宋_GBK" w:hAnsi="宋体" w:eastAsia="方正仿宋_GBK" w:cs="MingLiU"/>
          <w:snapToGrid w:val="0"/>
          <w:color w:val="00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000000"/>
          <w:kern w:val="0"/>
          <w:position w:val="-2"/>
          <w:sz w:val="24"/>
        </w:rPr>
      </w:pPr>
      <w:r>
        <w:rPr>
          <w:rFonts w:hint="eastAsia" w:ascii="方正仿宋_GBK" w:hAnsi="宋体" w:eastAsia="方正仿宋_GBK" w:cs="MingLiU"/>
          <w:snapToGrid w:val="0"/>
          <w:color w:val="000000"/>
          <w:kern w:val="0"/>
          <w:position w:val="-2"/>
          <w:sz w:val="24"/>
          <w:lang w:eastAsia="zh-CN"/>
        </w:rPr>
        <w:t>竞选</w:t>
      </w:r>
      <w:r>
        <w:rPr>
          <w:rFonts w:hint="eastAsia" w:ascii="方正仿宋_GBK" w:hAnsi="宋体" w:eastAsia="方正仿宋_GBK" w:cs="MingLiU"/>
          <w:snapToGrid w:val="0"/>
          <w:color w:val="000000"/>
          <w:kern w:val="0"/>
          <w:position w:val="-2"/>
          <w:sz w:val="24"/>
        </w:rPr>
        <w:t>人：</w:t>
      </w:r>
      <w:r>
        <w:rPr>
          <w:rFonts w:hint="eastAsia" w:ascii="方正仿宋_GBK" w:hAnsi="宋体" w:eastAsia="方正仿宋_GBK" w:cs="MingLiU"/>
          <w:snapToGrid w:val="0"/>
          <w:color w:val="000000"/>
          <w:kern w:val="0"/>
          <w:position w:val="-2"/>
          <w:sz w:val="24"/>
          <w:u w:val="single"/>
        </w:rPr>
        <w:t xml:space="preserve">                </w:t>
      </w:r>
      <w:r>
        <w:rPr>
          <w:rFonts w:hint="eastAsia" w:ascii="方正仿宋_GBK" w:hAnsi="宋体" w:eastAsia="方正仿宋_GBK" w:cs="MingLiU"/>
          <w:snapToGrid w:val="0"/>
          <w:color w:val="000000"/>
          <w:kern w:val="0"/>
          <w:position w:val="-2"/>
          <w:sz w:val="24"/>
        </w:rPr>
        <w:t>（盖章）</w:t>
      </w:r>
    </w:p>
    <w:p>
      <w:pPr>
        <w:adjustRightInd w:val="0"/>
        <w:snapToGrid w:val="0"/>
        <w:spacing w:line="500" w:lineRule="exact"/>
        <w:ind w:left="560"/>
        <w:rPr>
          <w:rFonts w:hint="eastAsia" w:ascii="宋体"/>
          <w:sz w:val="24"/>
        </w:rPr>
      </w:pPr>
      <w:r>
        <w:rPr>
          <w:rFonts w:hint="eastAsia" w:ascii="方正仿宋_GBK" w:hAnsi="宋体" w:eastAsia="方正仿宋_GBK" w:cs="MingLiU"/>
          <w:snapToGrid w:val="0"/>
          <w:color w:val="000000"/>
          <w:kern w:val="0"/>
          <w:position w:val="-2"/>
          <w:sz w:val="24"/>
        </w:rPr>
        <w:t>法定代表人/被授权人签字或盖章 :</w:t>
      </w:r>
      <w:r>
        <w:rPr>
          <w:rFonts w:hint="eastAsia" w:ascii="宋体"/>
          <w:sz w:val="24"/>
        </w:rPr>
        <w:t xml:space="preserve">  </w:t>
      </w:r>
      <w:r>
        <w:rPr>
          <w:rFonts w:hint="eastAsia" w:ascii="方正仿宋_GBK" w:hAnsi="宋体" w:eastAsia="方正仿宋_GBK" w:cs="MingLiU"/>
          <w:snapToGrid w:val="0"/>
          <w:color w:val="000000"/>
          <w:kern w:val="0"/>
          <w:position w:val="-2"/>
          <w:sz w:val="24"/>
          <w:u w:val="single"/>
        </w:rPr>
        <w:t xml:space="preserve">                </w:t>
      </w:r>
      <w:r>
        <w:rPr>
          <w:rFonts w:hint="eastAsia" w:ascii="宋体"/>
          <w:sz w:val="24"/>
        </w:rPr>
        <w:t xml:space="preserve"> </w:t>
      </w:r>
    </w:p>
    <w:p>
      <w:pPr>
        <w:adjustRightInd w:val="0"/>
        <w:snapToGrid w:val="0"/>
        <w:spacing w:line="500" w:lineRule="exact"/>
        <w:ind w:left="560"/>
        <w:rPr>
          <w:rFonts w:hint="eastAsia" w:ascii="宋体"/>
          <w:sz w:val="24"/>
        </w:rPr>
      </w:pPr>
    </w:p>
    <w:p>
      <w:pPr>
        <w:tabs>
          <w:tab w:val="left" w:pos="1440"/>
        </w:tabs>
        <w:spacing w:line="480" w:lineRule="auto"/>
        <w:rPr>
          <w:rFonts w:ascii="方正仿宋_GBK" w:hAnsi="宋体" w:eastAsia="方正仿宋_GBK" w:cs="MingLiU"/>
          <w:snapToGrid w:val="0"/>
          <w:color w:val="000000"/>
          <w:kern w:val="0"/>
          <w:position w:val="-2"/>
          <w:sz w:val="24"/>
        </w:rPr>
      </w:pPr>
      <w:r>
        <w:rPr>
          <w:rFonts w:hint="eastAsia" w:ascii="宋体"/>
          <w:sz w:val="24"/>
        </w:rPr>
        <w:t xml:space="preserve">     </w:t>
      </w:r>
      <w:r>
        <w:rPr>
          <w:rFonts w:hint="eastAsia" w:ascii="方正仿宋_GBK" w:hAnsi="宋体" w:eastAsia="方正仿宋_GBK" w:cs="MingLiU"/>
          <w:snapToGrid w:val="0"/>
          <w:color w:val="000000"/>
          <w:kern w:val="0"/>
          <w:position w:val="-2"/>
          <w:sz w:val="24"/>
        </w:rPr>
        <w:t xml:space="preserve">                                                  年     月     日  </w:t>
      </w:r>
    </w:p>
    <w:p>
      <w:pPr>
        <w:snapToGrid w:val="0"/>
        <w:jc w:val="center"/>
        <w:rPr>
          <w:rFonts w:hint="eastAsia" w:ascii="方正仿宋_GBK" w:hAnsi="宋体" w:eastAsia="方正仿宋_GBK" w:cs="MingLiU"/>
          <w:snapToGrid w:val="0"/>
          <w:color w:val="000000"/>
          <w:kern w:val="0"/>
          <w:position w:val="-2"/>
          <w:sz w:val="24"/>
        </w:rPr>
      </w:pPr>
      <w:r>
        <w:rPr>
          <w:rFonts w:ascii="方正仿宋_GBK" w:hAnsi="宋体" w:eastAsia="方正仿宋_GBK" w:cs="MingLiU"/>
          <w:snapToGrid w:val="0"/>
          <w:color w:val="000000"/>
          <w:kern w:val="0"/>
          <w:position w:val="-2"/>
          <w:sz w:val="24"/>
        </w:rPr>
        <w:br w:type="page"/>
      </w:r>
    </w:p>
    <w:bookmarkEnd w:id="13"/>
    <w:bookmarkEnd w:id="16"/>
    <w:p>
      <w:pPr>
        <w:pStyle w:val="2"/>
        <w:numPr>
          <w:ilvl w:val="1"/>
          <w:numId w:val="3"/>
        </w:numPr>
        <w:spacing w:before="0" w:line="360" w:lineRule="auto"/>
        <w:rPr>
          <w:rFonts w:hint="eastAsia" w:hAnsi="宋体"/>
          <w:sz w:val="28"/>
        </w:rPr>
      </w:pPr>
      <w:bookmarkStart w:id="17" w:name="_Toc101179065"/>
      <w:bookmarkStart w:id="18" w:name="_Toc161727400"/>
      <w:r>
        <w:rPr>
          <w:rFonts w:hint="eastAsia" w:hAnsi="宋体"/>
          <w:sz w:val="28"/>
          <w:lang w:eastAsia="zh-CN"/>
        </w:rPr>
        <w:t>竞选</w:t>
      </w:r>
      <w:r>
        <w:rPr>
          <w:rFonts w:hint="eastAsia" w:hAnsi="宋体"/>
          <w:sz w:val="28"/>
        </w:rPr>
        <w:t>人的情况简介、团队情况、服务方案或证明材料等</w:t>
      </w:r>
    </w:p>
    <w:p>
      <w:pPr>
        <w:pStyle w:val="2"/>
        <w:numPr>
          <w:ilvl w:val="1"/>
          <w:numId w:val="3"/>
        </w:numPr>
        <w:spacing w:before="0" w:line="360" w:lineRule="auto"/>
        <w:rPr>
          <w:rFonts w:hint="eastAsia" w:hAnsi="宋体"/>
          <w:sz w:val="28"/>
        </w:rPr>
      </w:pPr>
      <w:r>
        <w:rPr>
          <w:rFonts w:hint="eastAsia" w:hAnsi="宋体"/>
          <w:sz w:val="28"/>
          <w:lang w:eastAsia="zh-CN"/>
        </w:rPr>
        <w:t>竞选</w:t>
      </w:r>
      <w:r>
        <w:rPr>
          <w:rFonts w:hint="eastAsia" w:hAnsi="宋体"/>
          <w:sz w:val="28"/>
        </w:rPr>
        <w:t>人的其他资料或承诺（如果有）</w:t>
      </w:r>
    </w:p>
    <w:p>
      <w:pPr>
        <w:pStyle w:val="2"/>
        <w:numPr>
          <w:ilvl w:val="1"/>
          <w:numId w:val="3"/>
        </w:numPr>
        <w:spacing w:before="0" w:line="360" w:lineRule="auto"/>
        <w:rPr>
          <w:rFonts w:hint="eastAsia" w:hAnsi="宋体"/>
          <w:sz w:val="28"/>
        </w:rPr>
      </w:pPr>
      <w:r>
        <w:rPr>
          <w:rFonts w:hint="eastAsia" w:hAnsi="宋体"/>
          <w:sz w:val="28"/>
        </w:rPr>
        <w:t>电子文档（包含全套入库</w:t>
      </w:r>
      <w:r>
        <w:rPr>
          <w:rFonts w:hint="eastAsia" w:hAnsi="宋体"/>
          <w:sz w:val="28"/>
          <w:lang w:eastAsia="zh-CN"/>
        </w:rPr>
        <w:t>竞选文件</w:t>
      </w:r>
      <w:r>
        <w:rPr>
          <w:rFonts w:hint="eastAsia" w:hAnsi="宋体"/>
          <w:sz w:val="28"/>
        </w:rPr>
        <w:t>的U盘）</w:t>
      </w:r>
      <w:bookmarkEnd w:id="17"/>
      <w:bookmarkEnd w:id="18"/>
    </w:p>
    <w:p/>
    <w:sectPr>
      <w:headerReference r:id="rId8"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ESI仿宋-GB13000">
    <w:altName w:val="仿宋"/>
    <w:panose1 w:val="020005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hint="eastAsia"/>
      </w:rPr>
    </w:pPr>
  </w:p>
  <w:p>
    <w:pPr>
      <w:pStyle w:val="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p>
  <w:p>
    <w:pPr>
      <w:pStyle w:val="6"/>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9</w:t>
    </w:r>
    <w:r>
      <w:fldChar w:fldCharType="end"/>
    </w:r>
  </w:p>
  <w:p>
    <w:pPr>
      <w:pStyle w:val="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1"/>
        <w:szCs w:val="21"/>
      </w:rPr>
    </w:pPr>
    <w:r>
      <w:rPr>
        <w:rFonts w:hint="eastAsia"/>
        <w:sz w:val="21"/>
        <w:szCs w:val="21"/>
      </w:rPr>
      <w:t>重庆银行股份有限公司                                                  入库比选文件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sz w:val="21"/>
        <w:szCs w:val="21"/>
      </w:rPr>
    </w:pPr>
    <w:r>
      <w:rPr>
        <w:rFonts w:hint="eastAsia"/>
        <w:sz w:val="21"/>
        <w:szCs w:val="21"/>
      </w:rPr>
      <w:t xml:space="preserve">重庆银行股份有限公司                               </w:t>
    </w:r>
    <w:r>
      <w:rPr>
        <w:sz w:val="21"/>
        <w:szCs w:val="21"/>
      </w:rPr>
      <w:t xml:space="preserve">            </w:t>
    </w:r>
    <w:r>
      <w:rPr>
        <w:rFonts w:hint="eastAsia"/>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chineseCountingThousand"/>
      <w:lvlText w:val="%1、"/>
      <w:lvlJc w:val="left"/>
      <w:pPr>
        <w:tabs>
          <w:tab w:val="left" w:pos="967"/>
        </w:tabs>
        <w:ind w:left="60" w:firstLine="510"/>
      </w:pPr>
      <w:rPr>
        <w:rFonts w:hint="eastAsia"/>
        <w:b/>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990"/>
        </w:tabs>
        <w:ind w:left="536" w:firstLine="454"/>
      </w:pPr>
      <w:rPr>
        <w:rFonts w:hint="eastAsia"/>
        <w:sz w:val="28"/>
        <w:szCs w:val="28"/>
        <w:u w:val="none"/>
      </w:rPr>
    </w:lvl>
    <w:lvl w:ilvl="2" w:tentative="0">
      <w:start w:val="1"/>
      <w:numFmt w:val="lowerLetter"/>
      <w:lvlText w:val="%3."/>
      <w:lvlJc w:val="left"/>
      <w:pPr>
        <w:tabs>
          <w:tab w:val="left" w:pos="1770"/>
        </w:tabs>
        <w:ind w:left="1770" w:hanging="360"/>
      </w:pPr>
      <w:rPr>
        <w:rFonts w:hint="default"/>
        <w:sz w:val="28"/>
      </w:rPr>
    </w:lvl>
    <w:lvl w:ilvl="3" w:tentative="0">
      <w:start w:val="1"/>
      <w:numFmt w:val="decimal"/>
      <w:lvlText w:val="%4、"/>
      <w:lvlJc w:val="left"/>
      <w:pPr>
        <w:tabs>
          <w:tab w:val="left" w:pos="2550"/>
        </w:tabs>
        <w:ind w:left="2550" w:hanging="720"/>
      </w:pPr>
      <w:rPr>
        <w:rFonts w:hint="default"/>
        <w:b w:val="0"/>
      </w:rPr>
    </w:lvl>
    <w:lvl w:ilvl="4" w:tentative="0">
      <w:start w:val="1"/>
      <w:numFmt w:val="upperLetter"/>
      <w:lvlText w:val="%5、"/>
      <w:lvlJc w:val="left"/>
      <w:pPr>
        <w:tabs>
          <w:tab w:val="left" w:pos="2730"/>
        </w:tabs>
        <w:ind w:left="2250" w:firstLine="0"/>
      </w:pPr>
      <w:rPr>
        <w:rFonts w:hint="eastAsia"/>
        <w:b w:val="0"/>
        <w:i w:val="0"/>
        <w:caps w:val="0"/>
        <w:strike w:val="0"/>
        <w:dstrike w:val="0"/>
        <w:vanish w:val="0"/>
        <w:color w:val="auto"/>
        <w:spacing w:val="0"/>
        <w:w w:val="100"/>
        <w:kern w:val="44"/>
        <w:position w:val="0"/>
        <w:sz w:val="28"/>
        <w:szCs w:val="28"/>
        <w:u w:val="none"/>
        <w:vertAlign w:val="baseline"/>
      </w:rPr>
    </w:lvl>
    <w:lvl w:ilvl="5" w:tentative="0">
      <w:start w:val="1"/>
      <w:numFmt w:val="lowerRoman"/>
      <w:lvlText w:val="%6."/>
      <w:lvlJc w:val="right"/>
      <w:pPr>
        <w:tabs>
          <w:tab w:val="left" w:pos="3090"/>
        </w:tabs>
        <w:ind w:left="3090" w:hanging="420"/>
      </w:pPr>
      <w:rPr>
        <w:rFonts w:hint="eastAsia"/>
      </w:rPr>
    </w:lvl>
    <w:lvl w:ilvl="6" w:tentative="0">
      <w:start w:val="1"/>
      <w:numFmt w:val="decimal"/>
      <w:lvlText w:val="%7."/>
      <w:lvlJc w:val="left"/>
      <w:pPr>
        <w:tabs>
          <w:tab w:val="left" w:pos="3510"/>
        </w:tabs>
        <w:ind w:left="3510" w:hanging="420"/>
      </w:pPr>
      <w:rPr>
        <w:rFonts w:hint="eastAsia"/>
      </w:rPr>
    </w:lvl>
    <w:lvl w:ilvl="7" w:tentative="0">
      <w:start w:val="1"/>
      <w:numFmt w:val="lowerLetter"/>
      <w:lvlText w:val="%8)"/>
      <w:lvlJc w:val="left"/>
      <w:pPr>
        <w:tabs>
          <w:tab w:val="left" w:pos="3930"/>
        </w:tabs>
        <w:ind w:left="3930" w:hanging="420"/>
      </w:pPr>
      <w:rPr>
        <w:rFonts w:hint="eastAsia"/>
      </w:rPr>
    </w:lvl>
    <w:lvl w:ilvl="8" w:tentative="0">
      <w:start w:val="1"/>
      <w:numFmt w:val="lowerRoman"/>
      <w:lvlText w:val="%9."/>
      <w:lvlJc w:val="right"/>
      <w:pPr>
        <w:tabs>
          <w:tab w:val="left" w:pos="4350"/>
        </w:tabs>
        <w:ind w:left="4350" w:hanging="420"/>
      </w:pPr>
      <w:rPr>
        <w:rFonts w:hint="eastAsia"/>
      </w:rPr>
    </w:lvl>
  </w:abstractNum>
  <w:abstractNum w:abstractNumId="1">
    <w:nsid w:val="00000015"/>
    <w:multiLevelType w:val="multilevel"/>
    <w:tmpl w:val="00000015"/>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E75AB5"/>
    <w:rsid w:val="71B054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b/>
      <w:sz w:val="24"/>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annotation text"/>
    <w:basedOn w:val="1"/>
    <w:qFormat/>
    <w:uiPriority w:val="99"/>
    <w:pPr>
      <w:jc w:val="left"/>
    </w:pPr>
  </w:style>
  <w:style w:type="paragraph" w:styleId="5">
    <w:name w:val="Date"/>
    <w:basedOn w:val="1"/>
    <w:next w:val="1"/>
    <w:qFormat/>
    <w:uiPriority w:val="0"/>
    <w:pPr>
      <w:widowControl/>
    </w:pPr>
    <w:rPr>
      <w:rFonts w:hint="eastAsia" w:ascii="仿宋_GB2312" w:hAnsi="宋体" w:eastAsia="仿宋_GB2312"/>
      <w:kern w:val="0"/>
      <w:sz w:val="28"/>
      <w:szCs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39"/>
    <w:pPr>
      <w:tabs>
        <w:tab w:val="right" w:leader="dot" w:pos="8296"/>
      </w:tabs>
      <w:jc w:val="center"/>
    </w:pPr>
    <w:rPr>
      <w:rFonts w:ascii="仿宋_GB2312" w:eastAsia="仿宋_GB2312"/>
      <w:sz w:val="28"/>
      <w:szCs w:val="28"/>
    </w:rPr>
  </w:style>
  <w:style w:type="character" w:styleId="11">
    <w:name w:val="page number"/>
    <w:basedOn w:val="10"/>
    <w:qFormat/>
    <w:uiPriority w:val="0"/>
  </w:style>
  <w:style w:type="character" w:styleId="12">
    <w:name w:val="Hyperlink"/>
    <w:basedOn w:val="10"/>
    <w:qFormat/>
    <w:uiPriority w:val="99"/>
    <w:rPr>
      <w:color w:val="333333"/>
      <w:u w:val="none"/>
    </w:rPr>
  </w:style>
  <w:style w:type="paragraph" w:customStyle="1" w:styleId="13">
    <w:name w:val=" Char Char Char Char"/>
    <w:basedOn w:val="1"/>
    <w:qFormat/>
    <w:uiPriority w:val="0"/>
    <w:pPr>
      <w:jc w:val="center"/>
    </w:pPr>
    <w:rPr>
      <w:rFonts w:ascii="仿宋_GB2312" w:eastAsia="仿宋_GB2312"/>
      <w:b/>
      <w:sz w:val="32"/>
      <w:szCs w:val="32"/>
    </w:rPr>
  </w:style>
  <w:style w:type="paragraph" w:customStyle="1" w:styleId="14">
    <w:name w:val="CMCC_正文"/>
    <w:qFormat/>
    <w:uiPriority w:val="0"/>
    <w:pPr>
      <w:spacing w:after="160" w:line="360" w:lineRule="auto"/>
      <w:ind w:firstLine="200" w:firstLineChars="200"/>
    </w:pPr>
    <w:rPr>
      <w:rFonts w:ascii="Arial" w:hAnsi="Arial" w:eastAsia="宋体" w:cs="Times New Roman"/>
      <w:sz w:val="32"/>
      <w:szCs w:val="24"/>
      <w:lang w:val="en-US" w:eastAsia="en-CA"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周值</cp:lastModifiedBy>
  <dcterms:modified xsi:type="dcterms:W3CDTF">2023-04-06T06:05:36Z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97F3E51420E64918AF02D062AE0C5892</vt:lpwstr>
  </property>
</Properties>
</file>