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sz w:val="36"/>
          <w:szCs w:val="36"/>
        </w:rPr>
      </w:pPr>
      <w:bookmarkStart w:id="0" w:name="_Toc127952587"/>
      <w:bookmarkStart w:id="1" w:name="_Toc31661"/>
      <w:r>
        <w:rPr>
          <w:rFonts w:hint="eastAsia"/>
          <w:sz w:val="36"/>
          <w:szCs w:val="36"/>
        </w:rPr>
        <w:t>公开竞争性磋商公告</w:t>
      </w:r>
      <w:bookmarkEnd w:id="0"/>
      <w:bookmarkEnd w:id="1"/>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方正仿宋_GBK" w:hAnsi="方正仿宋_GBK" w:eastAsia="方正仿宋_GBK" w:cs="方正仿宋_GBK"/>
          <w:iCs/>
          <w:color w:val="000000"/>
          <w:sz w:val="28"/>
          <w:szCs w:val="28"/>
        </w:rPr>
      </w:pPr>
      <w:r>
        <w:rPr>
          <w:rFonts w:hint="eastAsia" w:ascii="方正仿宋_GBK" w:hAnsi="方正仿宋_GBK" w:eastAsia="方正仿宋_GBK" w:cs="方正仿宋_GBK"/>
          <w:iCs/>
          <w:color w:val="000000"/>
          <w:sz w:val="28"/>
          <w:szCs w:val="28"/>
        </w:rPr>
        <w:t>各潜在供应商：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80"/>
        <w:jc w:val="both"/>
        <w:textAlignment w:val="auto"/>
        <w:outlineLvl w:val="9"/>
        <w:rPr>
          <w:rFonts w:hint="eastAsia" w:ascii="方正仿宋_GBK" w:hAnsi="方正仿宋_GBK" w:eastAsia="方正仿宋_GBK" w:cs="方正仿宋_GBK"/>
          <w:iCs/>
          <w:color w:val="000000"/>
          <w:sz w:val="28"/>
          <w:szCs w:val="28"/>
        </w:rPr>
      </w:pPr>
      <w:r>
        <w:rPr>
          <w:rFonts w:hint="eastAsia" w:ascii="方正仿宋_GBK" w:hAnsi="方正仿宋_GBK" w:eastAsia="方正仿宋_GBK" w:cs="方正仿宋_GBK"/>
          <w:color w:val="000000"/>
          <w:sz w:val="28"/>
          <w:szCs w:val="28"/>
        </w:rPr>
        <w:t>重庆银行股份有限公司现就</w:t>
      </w:r>
      <w:r>
        <w:rPr>
          <w:rFonts w:hint="eastAsia" w:ascii="方正仿宋_GBK" w:hAnsi="方正仿宋_GBK" w:eastAsia="方正仿宋_GBK" w:cs="方正仿宋_GBK"/>
          <w:b/>
          <w:color w:val="000000"/>
          <w:sz w:val="28"/>
          <w:szCs w:val="28"/>
          <w:u w:val="single"/>
          <w:lang w:eastAsia="zh-CN"/>
        </w:rPr>
        <w:t>手机银行终端兼容性和易用性测试（2023）项目</w:t>
      </w:r>
      <w:r>
        <w:rPr>
          <w:rFonts w:hint="eastAsia" w:ascii="方正仿宋_GBK" w:hAnsi="方正仿宋_GBK" w:eastAsia="方正仿宋_GBK" w:cs="方正仿宋_GBK"/>
          <w:color w:val="000000"/>
          <w:sz w:val="28"/>
          <w:szCs w:val="28"/>
        </w:rPr>
        <w:t>进行竞争性磋商采购。现</w:t>
      </w:r>
      <w:r>
        <w:rPr>
          <w:rFonts w:hint="eastAsia" w:ascii="方正仿宋_GBK" w:hAnsi="方正仿宋_GBK" w:eastAsia="方正仿宋_GBK" w:cs="方正仿宋_GBK"/>
          <w:color w:val="000000"/>
          <w:kern w:val="0"/>
          <w:sz w:val="28"/>
          <w:szCs w:val="28"/>
        </w:rPr>
        <w:t>邀请符合相应资格条件的供应商参与竞争性磋商采购活动。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000000"/>
          <w:sz w:val="28"/>
          <w:szCs w:val="28"/>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color w:val="auto"/>
          <w:sz w:val="28"/>
          <w:szCs w:val="28"/>
        </w:rPr>
        <w:t>1、项目名称：</w:t>
      </w:r>
      <w:r>
        <w:rPr>
          <w:rFonts w:hint="eastAsia" w:ascii="方正仿宋_GBK" w:hAnsi="方正仿宋_GBK" w:eastAsia="方正仿宋_GBK" w:cs="方正仿宋_GBK"/>
          <w:color w:val="auto"/>
          <w:sz w:val="28"/>
          <w:szCs w:val="28"/>
          <w:lang w:eastAsia="zh-CN"/>
        </w:rPr>
        <w:t>手机银行终端兼容性和易用性测试（2023）项目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2、项目采购预算：</w:t>
      </w:r>
      <w:r>
        <w:rPr>
          <w:rFonts w:hint="eastAsia" w:ascii="方正仿宋_GBK" w:hAnsi="方正仿宋_GBK" w:eastAsia="方正仿宋_GBK" w:cs="方正仿宋_GBK"/>
          <w:color w:val="auto"/>
          <w:sz w:val="28"/>
          <w:szCs w:val="28"/>
          <w:lang w:val="en-US" w:eastAsia="zh-CN"/>
        </w:rPr>
        <w:t>80</w:t>
      </w:r>
      <w:r>
        <w:rPr>
          <w:rFonts w:hint="eastAsia" w:ascii="方正仿宋_GBK" w:hAnsi="方正仿宋_GBK" w:eastAsia="方正仿宋_GBK" w:cs="方正仿宋_GBK"/>
          <w:color w:val="auto"/>
          <w:sz w:val="28"/>
          <w:szCs w:val="28"/>
        </w:rPr>
        <w:t>万元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服务内容：为有效发现并定位手机银行APP在多场景、多设备、多维度下的兼容性和性能问题，助力解决手机银行APP与手机适配问题，满足不同手机机型的客户流畅使用我行手机银行APP的需求，保障多端融合统一用户使用体验，采购手机银行终端兼容性和易用性测试</w:t>
      </w:r>
      <w:r>
        <w:rPr>
          <w:rFonts w:hint="eastAsia" w:ascii="方正仿宋_GBK" w:hAnsi="方正仿宋_GBK" w:eastAsia="方正仿宋_GBK" w:cs="方正仿宋_GBK"/>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4、服务期限：自合同签订开始两年内有效</w:t>
      </w:r>
      <w:r>
        <w:rPr>
          <w:rFonts w:hint="eastAsia" w:ascii="方正仿宋_GBK" w:hAnsi="方正仿宋_GBK" w:eastAsia="方正仿宋_GBK" w:cs="方正仿宋_GBK"/>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5、服务地点：</w:t>
      </w:r>
      <w:r>
        <w:rPr>
          <w:rFonts w:hint="eastAsia" w:ascii="方正仿宋_GBK" w:hAnsi="方正仿宋_GBK" w:eastAsia="方正仿宋_GBK" w:cs="方正仿宋_GBK"/>
          <w:color w:val="auto"/>
          <w:sz w:val="28"/>
          <w:szCs w:val="28"/>
          <w:lang w:val="en-US" w:eastAsia="zh-CN"/>
        </w:rPr>
        <w:t>重庆银行总行所在地。</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二、供应商资格条件</w:t>
      </w:r>
    </w:p>
    <w:p>
      <w:pPr>
        <w:keepNext w:val="0"/>
        <w:keepLines w:val="0"/>
        <w:pageBreakBefore w:val="0"/>
        <w:numPr>
          <w:ilvl w:val="0"/>
          <w:numId w:val="0"/>
        </w:numPr>
        <w:kinsoku/>
        <w:wordWrap/>
        <w:overflowPunct/>
        <w:topLinePunct w:val="0"/>
        <w:bidi w:val="0"/>
        <w:spacing w:line="560" w:lineRule="exact"/>
        <w:ind w:left="0" w:leftChars="0" w:right="0" w:rightChars="0" w:firstLine="560" w:firstLineChars="200"/>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rPr>
        <w:t>具有独立法人资格</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提供营业执照复印件并加盖</w:t>
      </w:r>
      <w:r>
        <w:rPr>
          <w:rFonts w:hint="eastAsia" w:ascii="方正仿宋_GBK" w:hAnsi="方正仿宋_GBK" w:eastAsia="方正仿宋_GBK" w:cs="方正仿宋_GBK"/>
          <w:color w:val="auto"/>
          <w:sz w:val="28"/>
          <w:szCs w:val="28"/>
          <w:lang w:eastAsia="zh-CN"/>
        </w:rPr>
        <w:t>投标人</w:t>
      </w:r>
      <w:r>
        <w:rPr>
          <w:rFonts w:hint="eastAsia" w:ascii="方正仿宋_GBK" w:hAnsi="方正仿宋_GBK" w:eastAsia="方正仿宋_GBK" w:cs="方正仿宋_GBK"/>
          <w:color w:val="auto"/>
          <w:sz w:val="28"/>
          <w:szCs w:val="28"/>
        </w:rPr>
        <w:t>公章。</w:t>
      </w:r>
    </w:p>
    <w:p>
      <w:pPr>
        <w:keepNext w:val="0"/>
        <w:keepLines w:val="0"/>
        <w:pageBreakBefore w:val="0"/>
        <w:numPr>
          <w:ilvl w:val="0"/>
          <w:numId w:val="0"/>
        </w:numPr>
        <w:kinsoku/>
        <w:wordWrap/>
        <w:overflowPunct/>
        <w:topLinePunct w:val="0"/>
        <w:bidi w:val="0"/>
        <w:spacing w:line="560" w:lineRule="exact"/>
        <w:ind w:left="0" w:leftChars="0" w:right="0" w:rightChars="0" w:firstLine="560" w:firstLineChars="200"/>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highlight w:val="none"/>
        </w:rPr>
        <w:t>20</w:t>
      </w:r>
      <w:r>
        <w:rPr>
          <w:rFonts w:hint="eastAsia" w:ascii="方正仿宋_GBK" w:hAnsi="方正仿宋_GBK" w:eastAsia="方正仿宋_GBK" w:cs="方正仿宋_GBK"/>
          <w:color w:val="auto"/>
          <w:sz w:val="28"/>
          <w:szCs w:val="28"/>
          <w:highlight w:val="none"/>
          <w:lang w:val="en-US" w:eastAsia="zh-CN"/>
        </w:rPr>
        <w:t>20</w:t>
      </w:r>
      <w:r>
        <w:rPr>
          <w:rFonts w:hint="eastAsia" w:ascii="方正仿宋_GBK" w:hAnsi="方正仿宋_GBK" w:eastAsia="方正仿宋_GBK" w:cs="方正仿宋_GBK"/>
          <w:color w:val="auto"/>
          <w:sz w:val="28"/>
          <w:szCs w:val="28"/>
          <w:highlight w:val="none"/>
        </w:rPr>
        <w:t>年1月1日</w:t>
      </w:r>
      <w:r>
        <w:rPr>
          <w:rFonts w:hint="eastAsia" w:ascii="方正仿宋_GBK" w:hAnsi="方正仿宋_GBK" w:eastAsia="方正仿宋_GBK" w:cs="方正仿宋_GBK"/>
          <w:color w:val="auto"/>
          <w:sz w:val="28"/>
          <w:szCs w:val="28"/>
        </w:rPr>
        <w:t>至本</w:t>
      </w:r>
      <w:r>
        <w:rPr>
          <w:rFonts w:hint="eastAsia" w:ascii="方正仿宋_GBK" w:hAnsi="方正仿宋_GBK" w:eastAsia="方正仿宋_GBK" w:cs="方正仿宋_GBK"/>
          <w:color w:val="auto"/>
          <w:sz w:val="28"/>
          <w:szCs w:val="28"/>
          <w:lang w:val="en-US" w:eastAsia="zh-CN"/>
        </w:rPr>
        <w:t>采购</w:t>
      </w:r>
      <w:r>
        <w:rPr>
          <w:rFonts w:hint="eastAsia" w:ascii="方正仿宋_GBK" w:hAnsi="方正仿宋_GBK" w:eastAsia="方正仿宋_GBK" w:cs="方正仿宋_GBK"/>
          <w:color w:val="auto"/>
          <w:sz w:val="28"/>
          <w:szCs w:val="28"/>
        </w:rPr>
        <w:t>文件发</w:t>
      </w:r>
      <w:r>
        <w:rPr>
          <w:rFonts w:hint="eastAsia" w:ascii="方正仿宋_GBK" w:hAnsi="方正仿宋_GBK" w:eastAsia="方正仿宋_GBK" w:cs="方正仿宋_GBK"/>
          <w:color w:val="auto"/>
          <w:sz w:val="28"/>
          <w:szCs w:val="28"/>
          <w:lang w:eastAsia="zh-CN"/>
        </w:rPr>
        <w:t>布日</w:t>
      </w:r>
      <w:r>
        <w:rPr>
          <w:rFonts w:hint="eastAsia" w:ascii="方正仿宋_GBK" w:hAnsi="方正仿宋_GBK" w:eastAsia="方正仿宋_GBK" w:cs="方正仿宋_GBK"/>
          <w:color w:val="auto"/>
          <w:sz w:val="28"/>
          <w:szCs w:val="28"/>
        </w:rPr>
        <w:t>期间，</w:t>
      </w:r>
      <w:r>
        <w:rPr>
          <w:rFonts w:hint="eastAsia" w:ascii="方正仿宋_GBK" w:hAnsi="方正仿宋_GBK" w:eastAsia="方正仿宋_GBK" w:cs="方正仿宋_GBK"/>
          <w:color w:val="auto"/>
          <w:sz w:val="28"/>
          <w:szCs w:val="28"/>
          <w:lang w:eastAsia="zh-CN"/>
        </w:rPr>
        <w:t>投标人至少</w:t>
      </w:r>
      <w:r>
        <w:rPr>
          <w:rFonts w:hint="eastAsia" w:ascii="方正仿宋_GBK" w:hAnsi="方正仿宋_GBK" w:eastAsia="方正仿宋_GBK" w:cs="方正仿宋_GBK"/>
          <w:color w:val="auto"/>
          <w:sz w:val="28"/>
          <w:szCs w:val="28"/>
          <w:highlight w:val="none"/>
          <w:lang w:eastAsia="zh-CN"/>
        </w:rPr>
        <w:t>具有</w:t>
      </w:r>
      <w:r>
        <w:rPr>
          <w:rFonts w:hint="eastAsia" w:ascii="方正仿宋_GBK" w:hAnsi="方正仿宋_GBK" w:eastAsia="方正仿宋_GBK" w:cs="方正仿宋_GBK"/>
          <w:color w:val="auto"/>
          <w:sz w:val="28"/>
          <w:szCs w:val="28"/>
          <w:highlight w:val="none"/>
          <w:lang w:val="en-US" w:eastAsia="zh-CN"/>
        </w:rPr>
        <w:t>1个单项</w:t>
      </w:r>
      <w:r>
        <w:rPr>
          <w:rFonts w:hint="eastAsia" w:ascii="方正仿宋_GBK" w:hAnsi="方正仿宋_GBK" w:eastAsia="方正仿宋_GBK" w:cs="方正仿宋_GBK"/>
          <w:color w:val="auto"/>
          <w:sz w:val="28"/>
          <w:szCs w:val="28"/>
          <w:highlight w:val="none"/>
        </w:rPr>
        <w:t>合同金额</w:t>
      </w:r>
      <w:r>
        <w:rPr>
          <w:rFonts w:hint="eastAsia" w:ascii="方正仿宋_GBK" w:hAnsi="方正仿宋_GBK" w:eastAsia="方正仿宋_GBK" w:cs="方正仿宋_GBK"/>
          <w:color w:val="auto"/>
          <w:sz w:val="28"/>
          <w:szCs w:val="28"/>
          <w:highlight w:val="none"/>
          <w:lang w:eastAsia="zh-CN"/>
        </w:rPr>
        <w:t>在人民币</w:t>
      </w:r>
      <w:r>
        <w:rPr>
          <w:rFonts w:hint="eastAsia" w:ascii="方正仿宋_GBK" w:hAnsi="方正仿宋_GBK" w:eastAsia="方正仿宋_GBK" w:cs="方正仿宋_GBK"/>
          <w:color w:val="auto"/>
          <w:sz w:val="28"/>
          <w:szCs w:val="28"/>
          <w:highlight w:val="none"/>
          <w:lang w:val="en-US" w:eastAsia="zh-CN"/>
        </w:rPr>
        <w:t>80</w:t>
      </w:r>
      <w:r>
        <w:rPr>
          <w:rFonts w:hint="eastAsia" w:ascii="方正仿宋_GBK" w:hAnsi="方正仿宋_GBK" w:eastAsia="方正仿宋_GBK" w:cs="方正仿宋_GBK"/>
          <w:color w:val="auto"/>
          <w:sz w:val="28"/>
          <w:szCs w:val="28"/>
          <w:highlight w:val="none"/>
        </w:rPr>
        <w:t>万</w:t>
      </w:r>
      <w:r>
        <w:rPr>
          <w:rFonts w:hint="eastAsia" w:ascii="方正仿宋_GBK" w:hAnsi="方正仿宋_GBK" w:eastAsia="方正仿宋_GBK" w:cs="方正仿宋_GBK"/>
          <w:color w:val="auto"/>
          <w:sz w:val="28"/>
          <w:szCs w:val="28"/>
          <w:highlight w:val="none"/>
          <w:lang w:eastAsia="zh-CN"/>
        </w:rPr>
        <w:t>元（含）</w:t>
      </w:r>
      <w:r>
        <w:rPr>
          <w:rFonts w:hint="eastAsia" w:ascii="方正仿宋_GBK" w:hAnsi="方正仿宋_GBK" w:eastAsia="方正仿宋_GBK" w:cs="方正仿宋_GBK"/>
          <w:color w:val="auto"/>
          <w:sz w:val="28"/>
          <w:szCs w:val="28"/>
          <w:highlight w:val="none"/>
        </w:rPr>
        <w:t>以上的</w:t>
      </w:r>
      <w:r>
        <w:rPr>
          <w:rFonts w:hint="eastAsia" w:ascii="方正仿宋_GBK" w:hAnsi="方正仿宋_GBK" w:eastAsia="方正仿宋_GBK" w:cs="方正仿宋_GBK"/>
          <w:color w:val="auto"/>
          <w:sz w:val="28"/>
          <w:szCs w:val="28"/>
          <w:highlight w:val="none"/>
          <w:lang w:eastAsia="zh-CN"/>
        </w:rPr>
        <w:t>银行业总行级的“兼容性测试”或“易用性测试”或“自动化测试”</w:t>
      </w:r>
      <w:r>
        <w:rPr>
          <w:rFonts w:hint="eastAsia" w:ascii="方正仿宋_GBK" w:hAnsi="方正仿宋_GBK" w:eastAsia="方正仿宋_GBK" w:cs="方正仿宋_GBK"/>
          <w:color w:val="auto"/>
          <w:sz w:val="28"/>
          <w:szCs w:val="28"/>
          <w:highlight w:val="none"/>
        </w:rPr>
        <w:t>项目。</w:t>
      </w:r>
    </w:p>
    <w:p>
      <w:pPr>
        <w:pStyle w:val="83"/>
        <w:keepNext w:val="0"/>
        <w:keepLines w:val="0"/>
        <w:pageBreakBefore w:val="0"/>
        <w:kinsoku/>
        <w:wordWrap/>
        <w:overflowPunct/>
        <w:topLinePunct w:val="0"/>
        <w:bidi w:val="0"/>
        <w:spacing w:beforeLines="0" w:afterLines="0" w:line="560" w:lineRule="exact"/>
        <w:ind w:left="0" w:leftChars="0" w:right="0" w:rightChars="0" w:firstLine="560" w:firstLineChars="200"/>
        <w:outlineLvl w:val="9"/>
        <w:rPr>
          <w:rFonts w:hint="eastAsia" w:ascii="方正仿宋_GBK" w:hAnsi="方正仿宋_GBK" w:eastAsia="方正仿宋_GBK" w:cs="方正仿宋_GBK"/>
          <w:snapToGrid/>
          <w:color w:val="auto"/>
          <w:sz w:val="28"/>
          <w:szCs w:val="28"/>
          <w:lang w:val="en-US"/>
        </w:rPr>
      </w:pPr>
      <w:r>
        <w:rPr>
          <w:rFonts w:hint="eastAsia" w:ascii="方正仿宋_GBK" w:hAnsi="方正仿宋_GBK" w:eastAsia="方正仿宋_GBK" w:cs="方正仿宋_GBK"/>
          <w:snapToGrid/>
          <w:color w:val="auto"/>
          <w:sz w:val="28"/>
          <w:szCs w:val="28"/>
          <w:lang w:val="en-US"/>
        </w:rPr>
        <w:t>证明材料：</w:t>
      </w:r>
    </w:p>
    <w:p>
      <w:pPr>
        <w:pStyle w:val="83"/>
        <w:keepNext w:val="0"/>
        <w:keepLines w:val="0"/>
        <w:pageBreakBefore w:val="0"/>
        <w:numPr>
          <w:ilvl w:val="0"/>
          <w:numId w:val="1"/>
        </w:numPr>
        <w:kinsoku/>
        <w:wordWrap/>
        <w:overflowPunct/>
        <w:topLinePunct w:val="0"/>
        <w:bidi w:val="0"/>
        <w:spacing w:beforeLines="0" w:afterLines="0" w:line="560" w:lineRule="exact"/>
        <w:ind w:left="0" w:leftChars="0" w:right="0" w:rightChars="0" w:firstLine="560" w:firstLineChars="200"/>
        <w:outlineLvl w:val="9"/>
        <w:rPr>
          <w:rFonts w:hint="eastAsia" w:ascii="方正仿宋_GBK" w:hAnsi="方正仿宋_GBK" w:eastAsia="方正仿宋_GBK" w:cs="方正仿宋_GBK"/>
          <w:snapToGrid/>
          <w:color w:val="auto"/>
          <w:sz w:val="28"/>
          <w:szCs w:val="28"/>
          <w:lang w:val="en-US" w:eastAsia="zh-CN"/>
        </w:rPr>
      </w:pPr>
      <w:r>
        <w:rPr>
          <w:rFonts w:hint="eastAsia" w:ascii="方正仿宋_GBK" w:hAnsi="方正仿宋_GBK" w:eastAsia="方正仿宋_GBK" w:cs="方正仿宋_GBK"/>
          <w:snapToGrid/>
          <w:color w:val="auto"/>
          <w:sz w:val="28"/>
          <w:szCs w:val="28"/>
          <w:lang w:val="en-US"/>
        </w:rPr>
        <w:t>提供合同复印件并加盖</w:t>
      </w:r>
      <w:r>
        <w:rPr>
          <w:rFonts w:hint="eastAsia" w:ascii="方正仿宋_GBK" w:hAnsi="方正仿宋_GBK" w:eastAsia="方正仿宋_GBK" w:cs="方正仿宋_GBK"/>
          <w:snapToGrid/>
          <w:color w:val="auto"/>
          <w:sz w:val="28"/>
          <w:szCs w:val="28"/>
          <w:lang w:val="en-US" w:eastAsia="zh-CN"/>
        </w:rPr>
        <w:t>投标人</w:t>
      </w:r>
      <w:r>
        <w:rPr>
          <w:rFonts w:hint="eastAsia" w:ascii="方正仿宋_GBK" w:hAnsi="方正仿宋_GBK" w:eastAsia="方正仿宋_GBK" w:cs="方正仿宋_GBK"/>
          <w:snapToGrid/>
          <w:color w:val="auto"/>
          <w:sz w:val="28"/>
          <w:szCs w:val="28"/>
          <w:lang w:val="en-US"/>
        </w:rPr>
        <w:t>公章</w:t>
      </w:r>
      <w:r>
        <w:rPr>
          <w:rFonts w:hint="eastAsia" w:ascii="方正仿宋_GBK" w:hAnsi="方正仿宋_GBK" w:eastAsia="方正仿宋_GBK" w:cs="方正仿宋_GBK"/>
          <w:snapToGrid/>
          <w:color w:val="auto"/>
          <w:sz w:val="28"/>
          <w:szCs w:val="28"/>
          <w:lang w:val="en-US" w:eastAsia="zh-CN"/>
        </w:rPr>
        <w:t>。</w:t>
      </w:r>
    </w:p>
    <w:p>
      <w:pPr>
        <w:pStyle w:val="83"/>
        <w:keepNext w:val="0"/>
        <w:keepLines w:val="0"/>
        <w:pageBreakBefore w:val="0"/>
        <w:numPr>
          <w:ilvl w:val="0"/>
          <w:numId w:val="1"/>
        </w:numPr>
        <w:kinsoku/>
        <w:wordWrap/>
        <w:overflowPunct/>
        <w:topLinePunct w:val="0"/>
        <w:bidi w:val="0"/>
        <w:spacing w:beforeLines="0" w:afterLines="0" w:line="560" w:lineRule="exact"/>
        <w:ind w:left="0" w:leftChars="0" w:right="0" w:rightChars="0" w:firstLine="560" w:firstLineChars="200"/>
        <w:outlineLvl w:val="9"/>
        <w:rPr>
          <w:rFonts w:hint="eastAsia" w:ascii="方正仿宋_GBK" w:hAnsi="方正仿宋_GBK" w:eastAsia="方正仿宋_GBK" w:cs="方正仿宋_GBK"/>
          <w:snapToGrid/>
          <w:color w:val="auto"/>
          <w:sz w:val="28"/>
          <w:szCs w:val="28"/>
          <w:lang w:val="en-US"/>
        </w:rPr>
      </w:pPr>
      <w:r>
        <w:rPr>
          <w:rFonts w:hint="eastAsia" w:ascii="方正仿宋_GBK" w:hAnsi="方正仿宋_GBK" w:eastAsia="方正仿宋_GBK" w:cs="方正仿宋_GBK"/>
          <w:snapToGrid/>
          <w:color w:val="auto"/>
          <w:sz w:val="28"/>
          <w:szCs w:val="28"/>
          <w:lang w:val="en-US"/>
        </w:rPr>
        <w:t>合同复印件须包含合同首页、甲乙双方盖章页及包含业务范围描述的产品内容页（如无法提供产品内容页，或提供的产品内容页无法直接证明</w:t>
      </w:r>
      <w:r>
        <w:rPr>
          <w:rFonts w:hint="eastAsia" w:ascii="方正仿宋_GBK" w:hAnsi="方正仿宋_GBK" w:eastAsia="方正仿宋_GBK" w:cs="方正仿宋_GBK"/>
          <w:snapToGrid/>
          <w:color w:val="auto"/>
          <w:sz w:val="28"/>
          <w:szCs w:val="28"/>
          <w:lang w:val="en-US" w:eastAsia="zh-CN"/>
        </w:rPr>
        <w:t>其符合本条案例要求的</w:t>
      </w:r>
      <w:r>
        <w:rPr>
          <w:rFonts w:hint="eastAsia" w:ascii="方正仿宋_GBK" w:hAnsi="方正仿宋_GBK" w:eastAsia="方正仿宋_GBK" w:cs="方正仿宋_GBK"/>
          <w:snapToGrid/>
          <w:color w:val="auto"/>
          <w:sz w:val="28"/>
          <w:szCs w:val="28"/>
          <w:lang w:val="en-US"/>
        </w:rPr>
        <w:t>，投标人还须同时提供甲方证明材料复印件并加盖投标人公章供评标委员会认定其符合性）。</w:t>
      </w:r>
    </w:p>
    <w:p>
      <w:pPr>
        <w:pStyle w:val="83"/>
        <w:keepNext w:val="0"/>
        <w:keepLines w:val="0"/>
        <w:pageBreakBefore w:val="0"/>
        <w:numPr>
          <w:ilvl w:val="0"/>
          <w:numId w:val="1"/>
        </w:numPr>
        <w:kinsoku/>
        <w:wordWrap/>
        <w:overflowPunct/>
        <w:topLinePunct w:val="0"/>
        <w:bidi w:val="0"/>
        <w:spacing w:beforeLines="0" w:afterLines="0" w:line="560" w:lineRule="exact"/>
        <w:ind w:left="0" w:leftChars="0" w:right="0" w:rightChars="0" w:firstLine="560" w:firstLineChars="200"/>
        <w:outlineLvl w:val="9"/>
        <w:rPr>
          <w:rFonts w:hint="eastAsia" w:ascii="方正仿宋_GBK" w:hAnsi="方正仿宋_GBK" w:eastAsia="方正仿宋_GBK" w:cs="方正仿宋_GBK"/>
          <w:snapToGrid/>
          <w:color w:val="auto"/>
          <w:sz w:val="28"/>
          <w:szCs w:val="28"/>
          <w:lang w:val="en-US"/>
        </w:rPr>
      </w:pPr>
      <w:r>
        <w:rPr>
          <w:rFonts w:hint="eastAsia" w:ascii="方正仿宋_GBK" w:hAnsi="方正仿宋_GBK" w:eastAsia="方正仿宋_GBK" w:cs="方正仿宋_GBK"/>
          <w:snapToGrid/>
          <w:color w:val="auto"/>
          <w:sz w:val="28"/>
          <w:szCs w:val="28"/>
          <w:lang w:val="en-US"/>
        </w:rPr>
        <w:t>案例时间以合同签订时间或甲方证明材料中注明的实施时间为准；若同一业绩的合同签订时间和甲方证明材料中注明的实施时间不一致的，以合同签订时间为准。</w:t>
      </w:r>
    </w:p>
    <w:p>
      <w:pPr>
        <w:pStyle w:val="83"/>
        <w:keepNext w:val="0"/>
        <w:keepLines w:val="0"/>
        <w:pageBreakBefore w:val="0"/>
        <w:kinsoku/>
        <w:wordWrap/>
        <w:overflowPunct/>
        <w:topLinePunct w:val="0"/>
        <w:bidi w:val="0"/>
        <w:spacing w:beforeLines="0" w:afterLines="0" w:line="560" w:lineRule="exact"/>
        <w:ind w:left="0" w:leftChars="0" w:right="0" w:rightChars="0" w:firstLine="560" w:firstLineChars="200"/>
        <w:outlineLvl w:val="9"/>
        <w:rPr>
          <w:rFonts w:hint="eastAsia" w:ascii="方正仿宋_GBK" w:hAnsi="方正仿宋_GBK" w:eastAsia="方正仿宋_GBK" w:cs="方正仿宋_GBK"/>
          <w:snapToGrid/>
          <w:color w:val="auto"/>
          <w:sz w:val="28"/>
          <w:szCs w:val="28"/>
          <w:lang w:val="en-US"/>
        </w:rPr>
      </w:pPr>
      <w:r>
        <w:rPr>
          <w:rFonts w:hint="eastAsia" w:ascii="方正仿宋_GBK" w:hAnsi="方正仿宋_GBK" w:eastAsia="方正仿宋_GBK" w:cs="方正仿宋_GBK"/>
          <w:snapToGrid/>
          <w:color w:val="auto"/>
          <w:sz w:val="28"/>
          <w:szCs w:val="28"/>
          <w:lang w:val="en-US" w:eastAsia="zh-CN"/>
        </w:rPr>
        <w:t>（4）</w:t>
      </w:r>
      <w:r>
        <w:rPr>
          <w:rFonts w:hint="eastAsia" w:ascii="方正仿宋_GBK" w:hAnsi="方正仿宋_GBK" w:eastAsia="方正仿宋_GBK" w:cs="方正仿宋_GBK"/>
          <w:snapToGrid/>
          <w:color w:val="auto"/>
          <w:sz w:val="28"/>
          <w:szCs w:val="28"/>
          <w:lang w:val="en-US"/>
        </w:rPr>
        <w:t>案例的认定标准：合</w:t>
      </w:r>
      <w:r>
        <w:rPr>
          <w:rFonts w:hint="eastAsia" w:ascii="方正仿宋_GBK" w:hAnsi="方正仿宋_GBK" w:eastAsia="方正仿宋_GBK" w:cs="方正仿宋_GBK"/>
          <w:snapToGrid/>
          <w:color w:val="auto"/>
          <w:sz w:val="28"/>
          <w:szCs w:val="28"/>
          <w:highlight w:val="none"/>
          <w:lang w:val="en-US"/>
        </w:rPr>
        <w:t>同名称或合同内容包含</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兼容性测试</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或“易用性测试”或“自动化测试”</w:t>
      </w:r>
      <w:r>
        <w:rPr>
          <w:rFonts w:hint="eastAsia" w:ascii="方正仿宋_GBK" w:hAnsi="方正仿宋_GBK" w:eastAsia="方正仿宋_GBK" w:cs="方正仿宋_GBK"/>
          <w:snapToGrid/>
          <w:color w:val="auto"/>
          <w:sz w:val="28"/>
          <w:szCs w:val="28"/>
          <w:highlight w:val="none"/>
          <w:lang w:val="en-US"/>
        </w:rPr>
        <w:t>关键字</w:t>
      </w:r>
      <w:r>
        <w:rPr>
          <w:rFonts w:hint="eastAsia" w:ascii="方正仿宋_GBK" w:hAnsi="方正仿宋_GBK" w:eastAsia="方正仿宋_GBK" w:cs="方正仿宋_GBK"/>
          <w:snapToGrid/>
          <w:color w:val="auto"/>
          <w:sz w:val="28"/>
          <w:szCs w:val="28"/>
          <w:lang w:val="en-US"/>
        </w:rPr>
        <w:t>，或合同中内容经评标委员会认定其实质性工作内容与上述相关关键字相符，均视为有效案例。若案例中虽包含上述关键字，但评标委员会认定该案例与本项目无实质关联性，则视为无效案例。</w:t>
      </w:r>
    </w:p>
    <w:p>
      <w:pPr>
        <w:pStyle w:val="83"/>
        <w:keepNext w:val="0"/>
        <w:keepLines w:val="0"/>
        <w:pageBreakBefore w:val="0"/>
        <w:kinsoku/>
        <w:wordWrap/>
        <w:overflowPunct/>
        <w:topLinePunct w:val="0"/>
        <w:bidi w:val="0"/>
        <w:spacing w:beforeLines="0" w:afterLines="0" w:line="560" w:lineRule="exact"/>
        <w:ind w:left="0" w:leftChars="0" w:right="0" w:rightChars="0" w:firstLine="640"/>
        <w:outlineLvl w:val="9"/>
        <w:rPr>
          <w:rFonts w:hint="eastAsia" w:ascii="方正仿宋_GBK" w:hAnsi="方正仿宋_GBK" w:eastAsia="方正仿宋_GBK" w:cs="方正仿宋_GBK"/>
          <w:color w:val="auto"/>
          <w:sz w:val="28"/>
          <w:szCs w:val="28"/>
          <w:lang w:val="en-US"/>
        </w:rPr>
      </w:pP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lang w:val="en-US"/>
        </w:rPr>
        <w:t>项目人员的配置要求</w:t>
      </w:r>
    </w:p>
    <w:p>
      <w:pPr>
        <w:keepNext w:val="0"/>
        <w:keepLines w:val="0"/>
        <w:pageBreakBefore w:val="0"/>
        <w:widowControl/>
        <w:kinsoku/>
        <w:wordWrap/>
        <w:overflowPunct/>
        <w:topLinePunct w:val="0"/>
        <w:bidi w:val="0"/>
        <w:spacing w:line="560" w:lineRule="exact"/>
        <w:ind w:left="0" w:leftChars="0" w:right="0" w:rightChars="0" w:firstLine="640"/>
        <w:jc w:val="left"/>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项目经理1名：作为项目经理在本公司至少实施过</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个</w:t>
      </w:r>
      <w:r>
        <w:rPr>
          <w:rFonts w:hint="eastAsia" w:ascii="方正仿宋_GBK" w:hAnsi="方正仿宋_GBK" w:eastAsia="方正仿宋_GBK" w:cs="方正仿宋_GBK"/>
          <w:color w:val="auto"/>
          <w:sz w:val="28"/>
          <w:szCs w:val="28"/>
          <w:highlight w:val="none"/>
          <w:lang w:eastAsia="zh-CN"/>
        </w:rPr>
        <w:t>人民币</w:t>
      </w:r>
      <w:r>
        <w:rPr>
          <w:rFonts w:hint="eastAsia" w:ascii="方正仿宋_GBK" w:hAnsi="方正仿宋_GBK" w:eastAsia="方正仿宋_GBK" w:cs="方正仿宋_GBK"/>
          <w:color w:val="auto"/>
          <w:sz w:val="28"/>
          <w:szCs w:val="28"/>
          <w:highlight w:val="none"/>
          <w:lang w:val="en-US" w:eastAsia="zh-CN"/>
        </w:rPr>
        <w:t>80</w:t>
      </w:r>
      <w:r>
        <w:rPr>
          <w:rFonts w:hint="eastAsia" w:ascii="方正仿宋_GBK" w:hAnsi="方正仿宋_GBK" w:eastAsia="方正仿宋_GBK" w:cs="方正仿宋_GBK"/>
          <w:color w:val="auto"/>
          <w:sz w:val="28"/>
          <w:szCs w:val="28"/>
          <w:highlight w:val="none"/>
        </w:rPr>
        <w:t>万</w:t>
      </w:r>
      <w:r>
        <w:rPr>
          <w:rFonts w:hint="eastAsia" w:ascii="方正仿宋_GBK" w:hAnsi="方正仿宋_GBK" w:eastAsia="方正仿宋_GBK" w:cs="方正仿宋_GBK"/>
          <w:color w:val="auto"/>
          <w:sz w:val="28"/>
          <w:szCs w:val="28"/>
          <w:highlight w:val="none"/>
          <w:lang w:eastAsia="zh-CN"/>
        </w:rPr>
        <w:t>元（含）</w:t>
      </w:r>
      <w:r>
        <w:rPr>
          <w:rFonts w:hint="eastAsia" w:ascii="方正仿宋_GBK" w:hAnsi="方正仿宋_GBK" w:eastAsia="方正仿宋_GBK" w:cs="方正仿宋_GBK"/>
          <w:color w:val="auto"/>
          <w:sz w:val="28"/>
          <w:szCs w:val="28"/>
          <w:highlight w:val="none"/>
        </w:rPr>
        <w:t>以上的</w:t>
      </w:r>
      <w:r>
        <w:rPr>
          <w:rFonts w:hint="eastAsia" w:ascii="方正仿宋_GBK" w:hAnsi="方正仿宋_GBK" w:eastAsia="方正仿宋_GBK" w:cs="方正仿宋_GBK"/>
          <w:color w:val="auto"/>
          <w:sz w:val="28"/>
          <w:szCs w:val="28"/>
          <w:highlight w:val="none"/>
          <w:lang w:eastAsia="zh-CN"/>
        </w:rPr>
        <w:t>银行业总行级</w:t>
      </w:r>
      <w:r>
        <w:rPr>
          <w:rFonts w:hint="eastAsia" w:ascii="方正仿宋_GBK" w:hAnsi="方正仿宋_GBK" w:eastAsia="方正仿宋_GBK" w:cs="方正仿宋_GBK"/>
          <w:color w:val="auto"/>
          <w:sz w:val="28"/>
          <w:szCs w:val="28"/>
        </w:rPr>
        <w:t>相关</w:t>
      </w:r>
      <w:r>
        <w:rPr>
          <w:rFonts w:hint="eastAsia" w:ascii="方正仿宋_GBK" w:hAnsi="方正仿宋_GBK" w:eastAsia="方正仿宋_GBK" w:cs="方正仿宋_GBK"/>
          <w:color w:val="auto"/>
          <w:sz w:val="28"/>
          <w:szCs w:val="28"/>
          <w:lang w:eastAsia="zh-CN"/>
        </w:rPr>
        <w:t>“兼</w:t>
      </w:r>
      <w:r>
        <w:rPr>
          <w:rFonts w:hint="eastAsia" w:ascii="方正仿宋_GBK" w:hAnsi="方正仿宋_GBK" w:eastAsia="方正仿宋_GBK" w:cs="方正仿宋_GBK"/>
          <w:color w:val="auto"/>
          <w:sz w:val="28"/>
          <w:szCs w:val="28"/>
          <w:highlight w:val="none"/>
          <w:lang w:eastAsia="zh-CN"/>
        </w:rPr>
        <w:t>容性测试”或“易用性测试”或“自动化测试”</w:t>
      </w:r>
      <w:r>
        <w:rPr>
          <w:rFonts w:hint="eastAsia" w:ascii="方正仿宋_GBK" w:hAnsi="方正仿宋_GBK" w:eastAsia="方正仿宋_GBK" w:cs="方正仿宋_GBK"/>
          <w:color w:val="auto"/>
          <w:sz w:val="28"/>
          <w:szCs w:val="28"/>
          <w:highlight w:val="none"/>
        </w:rPr>
        <w:t>项目</w:t>
      </w:r>
      <w:r>
        <w:rPr>
          <w:rFonts w:hint="eastAsia" w:ascii="方正仿宋_GBK" w:hAnsi="方正仿宋_GBK" w:eastAsia="方正仿宋_GBK" w:cs="方正仿宋_GBK"/>
          <w:color w:val="auto"/>
          <w:sz w:val="28"/>
          <w:szCs w:val="28"/>
        </w:rPr>
        <w:t>（提供项目经理简历并加盖</w:t>
      </w:r>
      <w:r>
        <w:rPr>
          <w:rFonts w:hint="eastAsia" w:ascii="方正仿宋_GBK" w:hAnsi="方正仿宋_GBK" w:eastAsia="方正仿宋_GBK" w:cs="方正仿宋_GBK"/>
          <w:color w:val="auto"/>
          <w:sz w:val="28"/>
          <w:szCs w:val="28"/>
          <w:lang w:eastAsia="zh-CN"/>
        </w:rPr>
        <w:t>投标人</w:t>
      </w:r>
      <w:r>
        <w:rPr>
          <w:rFonts w:hint="eastAsia" w:ascii="方正仿宋_GBK" w:hAnsi="方正仿宋_GBK" w:eastAsia="方正仿宋_GBK" w:cs="方正仿宋_GBK"/>
          <w:color w:val="auto"/>
          <w:sz w:val="28"/>
          <w:szCs w:val="28"/>
        </w:rPr>
        <w:t>公章，提供案例合同复印件并加盖</w:t>
      </w:r>
      <w:r>
        <w:rPr>
          <w:rFonts w:hint="eastAsia" w:ascii="方正仿宋_GBK" w:hAnsi="方正仿宋_GBK" w:eastAsia="方正仿宋_GBK" w:cs="方正仿宋_GBK"/>
          <w:color w:val="auto"/>
          <w:sz w:val="28"/>
          <w:szCs w:val="28"/>
          <w:lang w:eastAsia="zh-CN"/>
        </w:rPr>
        <w:t>投标人</w:t>
      </w:r>
      <w:r>
        <w:rPr>
          <w:rFonts w:hint="eastAsia" w:ascii="方正仿宋_GBK" w:hAnsi="方正仿宋_GBK" w:eastAsia="方正仿宋_GBK" w:cs="方正仿宋_GBK"/>
          <w:color w:val="auto"/>
          <w:sz w:val="28"/>
          <w:szCs w:val="28"/>
        </w:rPr>
        <w:t>公章）；</w:t>
      </w:r>
    </w:p>
    <w:p>
      <w:pPr>
        <w:pStyle w:val="83"/>
        <w:keepNext w:val="0"/>
        <w:keepLines w:val="0"/>
        <w:pageBreakBefore w:val="0"/>
        <w:kinsoku/>
        <w:wordWrap/>
        <w:overflowPunct/>
        <w:topLinePunct w:val="0"/>
        <w:bidi w:val="0"/>
        <w:spacing w:beforeLines="0" w:afterLines="0" w:line="560" w:lineRule="exact"/>
        <w:ind w:left="0" w:leftChars="0" w:right="0" w:rightChars="0"/>
        <w:outlineLvl w:val="9"/>
        <w:rPr>
          <w:rFonts w:hint="eastAsia" w:ascii="方正仿宋_GBK" w:hAnsi="方正仿宋_GBK" w:eastAsia="方正仿宋_GBK" w:cs="方正仿宋_GBK"/>
          <w:color w:val="auto"/>
          <w:sz w:val="28"/>
          <w:szCs w:val="28"/>
          <w:lang w:val="en-US"/>
        </w:rPr>
      </w:pPr>
      <w:r>
        <w:rPr>
          <w:rFonts w:hint="eastAsia" w:ascii="方正仿宋_GBK" w:hAnsi="方正仿宋_GBK" w:eastAsia="方正仿宋_GBK" w:cs="方正仿宋_GBK"/>
          <w:color w:val="auto"/>
          <w:sz w:val="28"/>
          <w:szCs w:val="28"/>
          <w:lang w:val="en-US"/>
        </w:rPr>
        <w:t xml:space="preserve">    </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lang w:val="en-US"/>
        </w:rPr>
        <w:t>项目成员不低于</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lang w:val="en-US"/>
        </w:rPr>
        <w:t>名</w:t>
      </w:r>
      <w:r>
        <w:rPr>
          <w:rFonts w:hint="eastAsia" w:ascii="方正仿宋_GBK" w:hAnsi="方正仿宋_GBK" w:eastAsia="方正仿宋_GBK" w:cs="方正仿宋_GBK"/>
          <w:color w:val="auto"/>
          <w:sz w:val="28"/>
          <w:szCs w:val="28"/>
          <w:lang w:val="en-US" w:eastAsia="zh-CN"/>
        </w:rPr>
        <w:t>（可兼任项目经理）：</w:t>
      </w:r>
      <w:r>
        <w:rPr>
          <w:rFonts w:hint="eastAsia" w:ascii="方正仿宋_GBK" w:hAnsi="方正仿宋_GBK" w:eastAsia="方正仿宋_GBK" w:cs="方正仿宋_GBK"/>
          <w:color w:val="auto"/>
          <w:sz w:val="28"/>
          <w:szCs w:val="28"/>
          <w:lang w:val="en-US"/>
        </w:rPr>
        <w:t>每名成员均须</w:t>
      </w:r>
      <w:r>
        <w:rPr>
          <w:rFonts w:hint="eastAsia" w:ascii="方正仿宋_GBK" w:hAnsi="方正仿宋_GBK" w:eastAsia="方正仿宋_GBK" w:cs="方正仿宋_GBK"/>
          <w:color w:val="auto"/>
          <w:sz w:val="28"/>
          <w:szCs w:val="28"/>
        </w:rPr>
        <w:t>至少实施过</w:t>
      </w: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个</w:t>
      </w:r>
      <w:r>
        <w:rPr>
          <w:rFonts w:hint="eastAsia" w:ascii="方正仿宋_GBK" w:hAnsi="方正仿宋_GBK" w:eastAsia="方正仿宋_GBK" w:cs="方正仿宋_GBK"/>
          <w:color w:val="auto"/>
          <w:sz w:val="28"/>
          <w:szCs w:val="28"/>
          <w:highlight w:val="none"/>
          <w:lang w:eastAsia="zh-CN"/>
        </w:rPr>
        <w:t>人民币</w:t>
      </w:r>
      <w:r>
        <w:rPr>
          <w:rFonts w:hint="eastAsia" w:ascii="方正仿宋_GBK" w:hAnsi="方正仿宋_GBK" w:eastAsia="方正仿宋_GBK" w:cs="方正仿宋_GBK"/>
          <w:color w:val="auto"/>
          <w:sz w:val="28"/>
          <w:szCs w:val="28"/>
          <w:highlight w:val="none"/>
          <w:lang w:val="en-US" w:eastAsia="zh-CN"/>
        </w:rPr>
        <w:t>80</w:t>
      </w:r>
      <w:r>
        <w:rPr>
          <w:rFonts w:hint="eastAsia" w:ascii="方正仿宋_GBK" w:hAnsi="方正仿宋_GBK" w:eastAsia="方正仿宋_GBK" w:cs="方正仿宋_GBK"/>
          <w:color w:val="auto"/>
          <w:sz w:val="28"/>
          <w:szCs w:val="28"/>
          <w:highlight w:val="none"/>
        </w:rPr>
        <w:t>万</w:t>
      </w:r>
      <w:r>
        <w:rPr>
          <w:rFonts w:hint="eastAsia" w:ascii="方正仿宋_GBK" w:hAnsi="方正仿宋_GBK" w:eastAsia="方正仿宋_GBK" w:cs="方正仿宋_GBK"/>
          <w:color w:val="auto"/>
          <w:sz w:val="28"/>
          <w:szCs w:val="28"/>
          <w:highlight w:val="none"/>
          <w:lang w:eastAsia="zh-CN"/>
        </w:rPr>
        <w:t>元（含）</w:t>
      </w:r>
      <w:r>
        <w:rPr>
          <w:rFonts w:hint="eastAsia" w:ascii="方正仿宋_GBK" w:hAnsi="方正仿宋_GBK" w:eastAsia="方正仿宋_GBK" w:cs="方正仿宋_GBK"/>
          <w:color w:val="auto"/>
          <w:sz w:val="28"/>
          <w:szCs w:val="28"/>
          <w:highlight w:val="none"/>
        </w:rPr>
        <w:t>以上的</w:t>
      </w:r>
      <w:r>
        <w:rPr>
          <w:rFonts w:hint="eastAsia" w:ascii="方正仿宋_GBK" w:hAnsi="方正仿宋_GBK" w:eastAsia="方正仿宋_GBK" w:cs="方正仿宋_GBK"/>
          <w:color w:val="auto"/>
          <w:sz w:val="28"/>
          <w:szCs w:val="28"/>
          <w:highlight w:val="none"/>
          <w:lang w:eastAsia="zh-CN"/>
        </w:rPr>
        <w:t>银行业总行级</w:t>
      </w:r>
      <w:r>
        <w:rPr>
          <w:rFonts w:hint="eastAsia" w:ascii="方正仿宋_GBK" w:hAnsi="方正仿宋_GBK" w:eastAsia="方正仿宋_GBK" w:cs="方正仿宋_GBK"/>
          <w:color w:val="auto"/>
          <w:sz w:val="28"/>
          <w:szCs w:val="28"/>
          <w:highlight w:val="none"/>
        </w:rPr>
        <w:t>相关</w:t>
      </w:r>
      <w:r>
        <w:rPr>
          <w:rFonts w:hint="eastAsia" w:ascii="方正仿宋_GBK" w:hAnsi="方正仿宋_GBK" w:eastAsia="方正仿宋_GBK" w:cs="方正仿宋_GBK"/>
          <w:color w:val="auto"/>
          <w:sz w:val="28"/>
          <w:szCs w:val="28"/>
          <w:highlight w:val="none"/>
          <w:lang w:eastAsia="zh-CN"/>
        </w:rPr>
        <w:t>“兼容性测试”或“易用性测试”或“自动化测试”</w:t>
      </w:r>
      <w:r>
        <w:rPr>
          <w:rFonts w:hint="eastAsia" w:ascii="方正仿宋_GBK" w:hAnsi="方正仿宋_GBK" w:eastAsia="方正仿宋_GBK" w:cs="方正仿宋_GBK"/>
          <w:color w:val="auto"/>
          <w:sz w:val="28"/>
          <w:szCs w:val="28"/>
        </w:rPr>
        <w:t>项目</w:t>
      </w:r>
      <w:r>
        <w:rPr>
          <w:rFonts w:hint="eastAsia" w:ascii="方正仿宋_GBK" w:hAnsi="方正仿宋_GBK" w:eastAsia="方正仿宋_GBK" w:cs="方正仿宋_GBK"/>
          <w:color w:val="auto"/>
          <w:sz w:val="28"/>
          <w:szCs w:val="28"/>
          <w:lang w:val="en-US"/>
        </w:rPr>
        <w:t>（提供项目成员简历并加盖</w:t>
      </w:r>
      <w:r>
        <w:rPr>
          <w:rFonts w:hint="eastAsia" w:ascii="方正仿宋_GBK" w:hAnsi="方正仿宋_GBK" w:eastAsia="方正仿宋_GBK" w:cs="方正仿宋_GBK"/>
          <w:color w:val="auto"/>
          <w:sz w:val="28"/>
          <w:szCs w:val="28"/>
          <w:lang w:val="en-US" w:eastAsia="zh-CN"/>
        </w:rPr>
        <w:t>投标人</w:t>
      </w:r>
      <w:r>
        <w:rPr>
          <w:rFonts w:hint="eastAsia" w:ascii="方正仿宋_GBK" w:hAnsi="方正仿宋_GBK" w:eastAsia="方正仿宋_GBK" w:cs="方正仿宋_GBK"/>
          <w:color w:val="auto"/>
          <w:sz w:val="28"/>
          <w:szCs w:val="28"/>
          <w:lang w:val="en-US"/>
        </w:rPr>
        <w:t>公章</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提供案例合同复印件并加盖</w:t>
      </w:r>
      <w:r>
        <w:rPr>
          <w:rFonts w:hint="eastAsia" w:ascii="方正仿宋_GBK" w:hAnsi="方正仿宋_GBK" w:eastAsia="方正仿宋_GBK" w:cs="方正仿宋_GBK"/>
          <w:color w:val="auto"/>
          <w:sz w:val="28"/>
          <w:szCs w:val="28"/>
          <w:lang w:eastAsia="zh-CN"/>
        </w:rPr>
        <w:t>投标人</w:t>
      </w:r>
      <w:r>
        <w:rPr>
          <w:rFonts w:hint="eastAsia" w:ascii="方正仿宋_GBK" w:hAnsi="方正仿宋_GBK" w:eastAsia="方正仿宋_GBK" w:cs="方正仿宋_GBK"/>
          <w:color w:val="auto"/>
          <w:sz w:val="28"/>
          <w:szCs w:val="28"/>
        </w:rPr>
        <w:t>公章</w:t>
      </w:r>
      <w:r>
        <w:rPr>
          <w:rFonts w:hint="eastAsia" w:ascii="方正仿宋_GBK" w:hAnsi="方正仿宋_GBK" w:eastAsia="方正仿宋_GBK" w:cs="方正仿宋_GBK"/>
          <w:color w:val="auto"/>
          <w:sz w:val="28"/>
          <w:szCs w:val="28"/>
          <w:lang w:val="en-US"/>
        </w:rPr>
        <w:t>）；</w:t>
      </w:r>
    </w:p>
    <w:p>
      <w:pPr>
        <w:pStyle w:val="83"/>
        <w:keepNext w:val="0"/>
        <w:keepLines w:val="0"/>
        <w:pageBreakBefore w:val="0"/>
        <w:kinsoku/>
        <w:wordWrap/>
        <w:overflowPunct/>
        <w:topLinePunct w:val="0"/>
        <w:bidi w:val="0"/>
        <w:spacing w:beforeLines="0" w:afterLines="0" w:line="560" w:lineRule="exact"/>
        <w:ind w:left="0" w:leftChars="0" w:right="0" w:rightChars="0" w:firstLine="640"/>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（3）供应商</w:t>
      </w:r>
      <w:r>
        <w:rPr>
          <w:rFonts w:hint="eastAsia" w:ascii="方正仿宋_GBK" w:hAnsi="方正仿宋_GBK" w:eastAsia="方正仿宋_GBK" w:cs="方正仿宋_GBK"/>
          <w:color w:val="auto"/>
          <w:sz w:val="28"/>
          <w:szCs w:val="28"/>
          <w:lang w:val="en-US"/>
        </w:rPr>
        <w:t>须承诺</w:t>
      </w:r>
      <w:r>
        <w:rPr>
          <w:rFonts w:hint="eastAsia" w:ascii="方正仿宋_GBK" w:hAnsi="方正仿宋_GBK" w:eastAsia="方正仿宋_GBK" w:cs="方正仿宋_GBK"/>
          <w:color w:val="auto"/>
          <w:sz w:val="28"/>
          <w:szCs w:val="28"/>
          <w:lang w:val="en-US" w:eastAsia="zh-CN"/>
        </w:rPr>
        <w:t>以下内容</w:t>
      </w:r>
      <w:r>
        <w:rPr>
          <w:rFonts w:hint="eastAsia" w:ascii="方正仿宋_GBK" w:hAnsi="方正仿宋_GBK" w:eastAsia="方正仿宋_GBK" w:cs="方正仿宋_GBK"/>
          <w:color w:val="auto"/>
          <w:sz w:val="28"/>
          <w:szCs w:val="28"/>
          <w:lang w:val="en-US"/>
        </w:rPr>
        <w:t>：项目执行过程中，指定的项目经理及项目成员未经甲方同意不得随意更换，如因特殊原因必须更换人员，必须经过我行同意后才能更换。同时承诺项目经理和项目成员简历内容真实性。”详见</w:t>
      </w:r>
      <w:r>
        <w:rPr>
          <w:rFonts w:hint="eastAsia" w:ascii="方正仿宋_GBK" w:hAnsi="方正仿宋_GBK" w:eastAsia="方正仿宋_GBK" w:cs="方正仿宋_GBK"/>
          <w:color w:val="auto"/>
          <w:sz w:val="28"/>
          <w:szCs w:val="28"/>
          <w:lang w:val="en-US" w:eastAsia="zh-CN"/>
        </w:rPr>
        <w:t>采购文件</w:t>
      </w:r>
      <w:r>
        <w:rPr>
          <w:rFonts w:hint="eastAsia" w:ascii="方正仿宋_GBK" w:hAnsi="方正仿宋_GBK" w:eastAsia="方正仿宋_GBK" w:cs="方正仿宋_GBK"/>
          <w:color w:val="auto"/>
          <w:sz w:val="28"/>
          <w:szCs w:val="28"/>
          <w:lang w:val="en-US"/>
        </w:rPr>
        <w:t>附件1《承诺函》。</w:t>
      </w:r>
    </w:p>
    <w:p>
      <w:pPr>
        <w:pStyle w:val="83"/>
        <w:keepNext w:val="0"/>
        <w:keepLines w:val="0"/>
        <w:pageBreakBefore w:val="0"/>
        <w:kinsoku/>
        <w:wordWrap/>
        <w:overflowPunct/>
        <w:topLinePunct w:val="0"/>
        <w:bidi w:val="0"/>
        <w:spacing w:beforeLines="0" w:afterLines="0" w:line="560" w:lineRule="exact"/>
        <w:ind w:left="0" w:leftChars="0" w:right="0" w:rightChars="0" w:firstLine="640"/>
        <w:outlineLvl w:val="9"/>
        <w:rPr>
          <w:rFonts w:hint="eastAsia" w:ascii="方正仿宋_GBK" w:hAnsi="方正仿宋_GBK" w:eastAsia="方正仿宋_GBK" w:cs="方正仿宋_GBK"/>
          <w:color w:val="auto"/>
          <w:sz w:val="28"/>
          <w:szCs w:val="28"/>
          <w:lang w:val="en-US"/>
        </w:rPr>
      </w:pPr>
      <w:r>
        <w:rPr>
          <w:rFonts w:hint="eastAsia" w:ascii="方正仿宋_GBK" w:hAnsi="方正仿宋_GBK" w:eastAsia="方正仿宋_GBK" w:cs="方正仿宋_GBK"/>
          <w:color w:val="auto"/>
          <w:sz w:val="28"/>
          <w:szCs w:val="28"/>
          <w:lang w:val="en-US"/>
        </w:rPr>
        <w:t>证明材料：</w:t>
      </w:r>
    </w:p>
    <w:p>
      <w:pPr>
        <w:pStyle w:val="83"/>
        <w:keepNext w:val="0"/>
        <w:keepLines w:val="0"/>
        <w:pageBreakBefore w:val="0"/>
        <w:kinsoku/>
        <w:wordWrap/>
        <w:overflowPunct/>
        <w:topLinePunct w:val="0"/>
        <w:bidi w:val="0"/>
        <w:spacing w:beforeLines="0" w:afterLines="0" w:line="560" w:lineRule="exact"/>
        <w:ind w:left="0" w:leftChars="0" w:right="0" w:rightChars="0" w:firstLine="640"/>
        <w:outlineLvl w:val="9"/>
        <w:rPr>
          <w:rFonts w:hint="eastAsia" w:ascii="方正仿宋_GBK" w:hAnsi="方正仿宋_GBK" w:eastAsia="方正仿宋_GBK" w:cs="方正仿宋_GBK"/>
          <w:color w:val="auto"/>
          <w:sz w:val="28"/>
          <w:szCs w:val="28"/>
          <w:lang w:val="en-US"/>
        </w:rPr>
      </w:pPr>
      <w:r>
        <w:rPr>
          <w:rFonts w:hint="eastAsia" w:ascii="方正仿宋_GBK" w:hAnsi="方正仿宋_GBK" w:eastAsia="方正仿宋_GBK" w:cs="方正仿宋_GBK"/>
          <w:color w:val="auto"/>
          <w:sz w:val="28"/>
          <w:szCs w:val="28"/>
          <w:lang w:val="en-US"/>
        </w:rPr>
        <w:t>（1）提供以上相关人员简历</w:t>
      </w:r>
      <w:r>
        <w:rPr>
          <w:rFonts w:hint="eastAsia" w:ascii="方正仿宋_GBK" w:hAnsi="方正仿宋_GBK" w:eastAsia="方正仿宋_GBK" w:cs="方正仿宋_GBK"/>
          <w:color w:val="auto"/>
          <w:sz w:val="28"/>
          <w:szCs w:val="28"/>
          <w:lang w:val="en-US" w:eastAsia="zh-CN"/>
        </w:rPr>
        <w:t>加盖供应商公章</w:t>
      </w:r>
      <w:r>
        <w:rPr>
          <w:rFonts w:hint="eastAsia" w:ascii="方正仿宋_GBK" w:hAnsi="方正仿宋_GBK" w:eastAsia="方正仿宋_GBK" w:cs="方正仿宋_GBK"/>
          <w:color w:val="auto"/>
          <w:sz w:val="28"/>
          <w:szCs w:val="28"/>
          <w:lang w:val="en-US"/>
        </w:rPr>
        <w:t>，格式自拟</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lang w:val="en-US"/>
        </w:rPr>
        <w:t>简历应至少包括：</w:t>
      </w:r>
      <w:r>
        <w:rPr>
          <w:rFonts w:hint="eastAsia" w:ascii="方正仿宋_GBK" w:hAnsi="方正仿宋_GBK" w:eastAsia="方正仿宋_GBK" w:cs="方正仿宋_GBK"/>
          <w:b/>
          <w:bCs/>
          <w:color w:val="auto"/>
          <w:sz w:val="28"/>
          <w:szCs w:val="28"/>
          <w:lang w:val="en-US"/>
        </w:rPr>
        <w:t>人员的相关案例经验，案例服务方名称、联系人及联系方式，在案例中担任岗位及其职责</w:t>
      </w:r>
      <w:r>
        <w:rPr>
          <w:rFonts w:hint="eastAsia" w:ascii="方正仿宋_GBK" w:hAnsi="方正仿宋_GBK" w:eastAsia="方正仿宋_GBK" w:cs="方正仿宋_GBK"/>
          <w:color w:val="auto"/>
          <w:sz w:val="28"/>
          <w:szCs w:val="28"/>
          <w:lang w:val="en-US"/>
        </w:rPr>
        <w:t>。</w:t>
      </w:r>
    </w:p>
    <w:p>
      <w:pPr>
        <w:pStyle w:val="83"/>
        <w:keepNext w:val="0"/>
        <w:keepLines w:val="0"/>
        <w:pageBreakBefore w:val="0"/>
        <w:kinsoku/>
        <w:wordWrap/>
        <w:overflowPunct/>
        <w:topLinePunct w:val="0"/>
        <w:bidi w:val="0"/>
        <w:spacing w:beforeLines="0" w:afterLines="0" w:line="560" w:lineRule="exact"/>
        <w:ind w:left="0" w:leftChars="0" w:right="0" w:rightChars="0" w:firstLine="640"/>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rPr>
        <w:t>（2）提供投标人为以上相关人员缴纳的</w:t>
      </w:r>
      <w:r>
        <w:rPr>
          <w:rFonts w:hint="eastAsia" w:ascii="方正仿宋_GBK" w:hAnsi="方正仿宋_GBK" w:eastAsia="方正仿宋_GBK" w:cs="方正仿宋_GBK"/>
          <w:color w:val="auto"/>
          <w:sz w:val="28"/>
          <w:szCs w:val="28"/>
          <w:highlight w:val="none"/>
          <w:lang w:val="en-US"/>
        </w:rPr>
        <w:t>2023年</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lang w:val="en-US"/>
        </w:rPr>
        <w:t>月至2023年</w:t>
      </w: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lang w:val="en-US"/>
        </w:rPr>
        <w:t>月</w:t>
      </w:r>
      <w:r>
        <w:rPr>
          <w:rFonts w:hint="eastAsia" w:ascii="方正仿宋_GBK" w:hAnsi="方正仿宋_GBK" w:eastAsia="方正仿宋_GBK" w:cs="方正仿宋_GBK"/>
          <w:color w:val="auto"/>
          <w:sz w:val="28"/>
          <w:szCs w:val="28"/>
          <w:lang w:val="en-US"/>
        </w:rPr>
        <w:t>连续3个月的养老保险缴费证明（若委托第三方人力外包服务公司代缴的，还须同时提供相关关系证明）。</w:t>
      </w:r>
    </w:p>
    <w:p>
      <w:pPr>
        <w:keepNext w:val="0"/>
        <w:keepLines w:val="0"/>
        <w:pageBreakBefore w:val="0"/>
        <w:numPr>
          <w:ilvl w:val="0"/>
          <w:numId w:val="0"/>
        </w:numPr>
        <w:kinsoku/>
        <w:wordWrap/>
        <w:overflowPunct/>
        <w:topLinePunct w:val="0"/>
        <w:bidi w:val="0"/>
        <w:spacing w:line="560" w:lineRule="exact"/>
        <w:ind w:left="0" w:leftChars="0" w:right="0" w:rightChars="0" w:firstLine="560" w:firstLineChars="200"/>
        <w:jc w:val="left"/>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4、投标人</w:t>
      </w:r>
      <w:r>
        <w:rPr>
          <w:rFonts w:hint="eastAsia" w:ascii="方正仿宋_GBK" w:hAnsi="方正仿宋_GBK" w:eastAsia="方正仿宋_GBK" w:cs="方正仿宋_GBK"/>
          <w:color w:val="auto"/>
          <w:sz w:val="28"/>
          <w:szCs w:val="28"/>
        </w:rPr>
        <w:t>未被“信用中国”网站列入失信被执行人和重大税收违法案件当事人名单。</w:t>
      </w:r>
    </w:p>
    <w:p>
      <w:pPr>
        <w:keepNext w:val="0"/>
        <w:keepLines w:val="0"/>
        <w:pageBreakBefore w:val="0"/>
        <w:kinsoku/>
        <w:wordWrap/>
        <w:overflowPunct/>
        <w:topLinePunct w:val="0"/>
        <w:bidi w:val="0"/>
        <w:spacing w:line="560" w:lineRule="exact"/>
        <w:ind w:left="0" w:leftChars="0" w:right="0" w:rightChars="0" w:firstLine="560" w:firstLineChars="200"/>
        <w:jc w:val="left"/>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注：提供“信用中国”http://www.creditchina.gov.cn网站查询结果。</w:t>
      </w:r>
    </w:p>
    <w:p>
      <w:pPr>
        <w:keepNext w:val="0"/>
        <w:keepLines w:val="0"/>
        <w:pageBreakBefore w:val="0"/>
        <w:kinsoku/>
        <w:wordWrap/>
        <w:overflowPunct/>
        <w:topLinePunct w:val="0"/>
        <w:bidi w:val="0"/>
        <w:spacing w:line="560" w:lineRule="exact"/>
        <w:ind w:left="0" w:leftChars="0" w:right="0" w:rightChars="0" w:firstLine="560" w:firstLineChars="200"/>
        <w:jc w:val="both"/>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查询方式：进入信用中国网站http://www.creditchina.gov.cn，右上角查询框中输入企业名字查询，在查询结果中找到对应企业，下载信用信息报告。</w:t>
      </w:r>
    </w:p>
    <w:p>
      <w:pPr>
        <w:keepNext w:val="0"/>
        <w:keepLines w:val="0"/>
        <w:pageBreakBefore w:val="0"/>
        <w:kinsoku/>
        <w:wordWrap/>
        <w:overflowPunct/>
        <w:topLinePunct w:val="0"/>
        <w:bidi w:val="0"/>
        <w:spacing w:line="560" w:lineRule="exact"/>
        <w:ind w:left="0" w:leftChars="0" w:right="0" w:rightChars="0" w:firstLine="560" w:firstLineChars="200"/>
        <w:jc w:val="left"/>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提示：下载的信用信息报告为PDF格式，名称为“法人和非法人组织公共信用信息报告”，右上角有二维码校验码。</w:t>
      </w:r>
    </w:p>
    <w:p>
      <w:pPr>
        <w:keepNext w:val="0"/>
        <w:keepLines w:val="0"/>
        <w:pageBreakBefore w:val="0"/>
        <w:kinsoku/>
        <w:wordWrap/>
        <w:overflowPunct/>
        <w:topLinePunct w:val="0"/>
        <w:bidi w:val="0"/>
        <w:spacing w:line="560" w:lineRule="exact"/>
        <w:ind w:left="0" w:leftChars="0" w:right="0" w:rightChars="0" w:firstLine="560" w:firstLineChars="200"/>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查询生成时间 ：应当为本招标文件发出日至投标文件递交截止日之间的任意一天。</w:t>
      </w:r>
    </w:p>
    <w:p>
      <w:pPr>
        <w:keepNext w:val="0"/>
        <w:keepLines w:val="0"/>
        <w:pageBreakBefore w:val="0"/>
        <w:widowControl w:val="0"/>
        <w:tabs>
          <w:tab w:val="left" w:pos="726"/>
        </w:tabs>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rPr>
        <w:t>递交方式：将打印的信用信息报告装订入投标文件中一起密封提交</w:t>
      </w:r>
      <w:r>
        <w:rPr>
          <w:rFonts w:hint="eastAsia" w:ascii="方正仿宋_GBK" w:hAnsi="方正仿宋_GBK" w:eastAsia="方正仿宋_GBK" w:cs="方正仿宋_GBK"/>
          <w:color w:val="auto"/>
          <w:sz w:val="28"/>
          <w:szCs w:val="28"/>
          <w:highlight w:val="none"/>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磋商文件获取</w:t>
      </w:r>
      <w:r>
        <w:rPr>
          <w:rFonts w:hint="eastAsia" w:ascii="方正仿宋_GBK" w:hAnsi="方正仿宋_GBK" w:eastAsia="方正仿宋_GBK" w:cs="方正仿宋_GBK"/>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56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1、磋商文件获取时间：</w:t>
      </w:r>
      <w:r>
        <w:rPr>
          <w:rFonts w:hint="eastAsia" w:ascii="方正仿宋_GBK" w:hAnsi="方正仿宋_GBK" w:eastAsia="方正仿宋_GBK" w:cs="方正仿宋_GBK"/>
          <w:color w:val="auto"/>
          <w:sz w:val="28"/>
          <w:szCs w:val="28"/>
          <w:u w:val="single"/>
        </w:rPr>
        <w:t>从2023年</w:t>
      </w:r>
      <w:r>
        <w:rPr>
          <w:rFonts w:hint="eastAsia" w:ascii="方正仿宋_GBK" w:hAnsi="方正仿宋_GBK" w:eastAsia="方正仿宋_GBK" w:cs="方正仿宋_GBK"/>
          <w:color w:val="auto"/>
          <w:sz w:val="28"/>
          <w:szCs w:val="28"/>
          <w:u w:val="single"/>
          <w:lang w:val="en-US" w:eastAsia="zh-CN"/>
        </w:rPr>
        <w:t>11</w:t>
      </w:r>
      <w:r>
        <w:rPr>
          <w:rFonts w:hint="eastAsia" w:ascii="方正仿宋_GBK" w:hAnsi="方正仿宋_GBK" w:eastAsia="方正仿宋_GBK" w:cs="方正仿宋_GBK"/>
          <w:color w:val="auto"/>
          <w:sz w:val="28"/>
          <w:szCs w:val="28"/>
          <w:u w:val="single"/>
        </w:rPr>
        <w:t>月</w:t>
      </w:r>
      <w:r>
        <w:rPr>
          <w:rFonts w:hint="eastAsia" w:ascii="方正仿宋_GBK" w:hAnsi="方正仿宋_GBK" w:eastAsia="方正仿宋_GBK" w:cs="方正仿宋_GBK"/>
          <w:color w:val="auto"/>
          <w:sz w:val="28"/>
          <w:szCs w:val="28"/>
          <w:u w:val="single"/>
          <w:lang w:val="en-US" w:eastAsia="zh-CN"/>
        </w:rPr>
        <w:t>27</w:t>
      </w:r>
      <w:r>
        <w:rPr>
          <w:rFonts w:hint="eastAsia" w:ascii="方正仿宋_GBK" w:hAnsi="方正仿宋_GBK" w:eastAsia="方正仿宋_GBK" w:cs="方正仿宋_GBK"/>
          <w:color w:val="auto"/>
          <w:sz w:val="28"/>
          <w:szCs w:val="28"/>
          <w:u w:val="single"/>
        </w:rPr>
        <w:t>日</w:t>
      </w:r>
      <w:r>
        <w:rPr>
          <w:rFonts w:hint="eastAsia" w:ascii="方正仿宋_GBK" w:hAnsi="方正仿宋_GBK" w:eastAsia="方正仿宋_GBK" w:cs="方正仿宋_GBK"/>
          <w:color w:val="auto"/>
          <w:sz w:val="28"/>
          <w:szCs w:val="28"/>
        </w:rPr>
        <w:t>09</w:t>
      </w:r>
      <w:r>
        <w:rPr>
          <w:rFonts w:hint="eastAsia" w:ascii="方正仿宋_GBK" w:hAnsi="方正仿宋_GBK" w:eastAsia="方正仿宋_GBK" w:cs="方正仿宋_GBK"/>
          <w:color w:val="auto"/>
          <w:sz w:val="28"/>
          <w:szCs w:val="28"/>
          <w:lang w:val="en-US" w:eastAsia="zh-CN"/>
        </w:rPr>
        <w:t>时</w:t>
      </w:r>
      <w:r>
        <w:rPr>
          <w:rFonts w:hint="eastAsia" w:ascii="方正仿宋_GBK" w:hAnsi="方正仿宋_GBK" w:eastAsia="方正仿宋_GBK" w:cs="方正仿宋_GBK"/>
          <w:color w:val="auto"/>
          <w:sz w:val="28"/>
          <w:szCs w:val="28"/>
        </w:rPr>
        <w:t>到2</w:t>
      </w:r>
      <w:r>
        <w:rPr>
          <w:rFonts w:hint="eastAsia" w:ascii="方正仿宋_GBK" w:hAnsi="方正仿宋_GBK" w:eastAsia="方正仿宋_GBK" w:cs="方正仿宋_GBK"/>
          <w:color w:val="auto"/>
          <w:sz w:val="28"/>
          <w:szCs w:val="28"/>
          <w:u w:val="single"/>
        </w:rPr>
        <w:t>023年</w:t>
      </w:r>
      <w:r>
        <w:rPr>
          <w:rFonts w:hint="eastAsia" w:ascii="方正仿宋_GBK" w:hAnsi="方正仿宋_GBK" w:eastAsia="方正仿宋_GBK" w:cs="方正仿宋_GBK"/>
          <w:color w:val="auto"/>
          <w:sz w:val="28"/>
          <w:szCs w:val="28"/>
          <w:u w:val="single"/>
          <w:lang w:val="en-US" w:eastAsia="zh-CN"/>
        </w:rPr>
        <w:t>12</w:t>
      </w:r>
      <w:r>
        <w:rPr>
          <w:rFonts w:hint="eastAsia" w:ascii="方正仿宋_GBK" w:hAnsi="方正仿宋_GBK" w:eastAsia="方正仿宋_GBK" w:cs="方正仿宋_GBK"/>
          <w:color w:val="auto"/>
          <w:sz w:val="28"/>
          <w:szCs w:val="28"/>
          <w:u w:val="single"/>
        </w:rPr>
        <w:t>月</w:t>
      </w:r>
      <w:r>
        <w:rPr>
          <w:rFonts w:hint="eastAsia" w:ascii="方正仿宋_GBK" w:hAnsi="方正仿宋_GBK" w:eastAsia="方正仿宋_GBK" w:cs="方正仿宋_GBK"/>
          <w:color w:val="auto"/>
          <w:sz w:val="28"/>
          <w:szCs w:val="28"/>
          <w:u w:val="single"/>
          <w:lang w:val="en-US" w:eastAsia="zh-CN"/>
        </w:rPr>
        <w:t>8</w:t>
      </w:r>
      <w:r>
        <w:rPr>
          <w:rFonts w:hint="eastAsia" w:ascii="方正仿宋_GBK" w:hAnsi="方正仿宋_GBK" w:eastAsia="方正仿宋_GBK" w:cs="方正仿宋_GBK"/>
          <w:color w:val="auto"/>
          <w:sz w:val="28"/>
          <w:szCs w:val="28"/>
          <w:u w:val="single"/>
        </w:rPr>
        <w:t>日</w:t>
      </w:r>
      <w:r>
        <w:rPr>
          <w:rFonts w:hint="eastAsia" w:ascii="方正仿宋_GBK" w:hAnsi="方正仿宋_GBK" w:eastAsia="方正仿宋_GBK" w:cs="方正仿宋_GBK"/>
          <w:color w:val="auto"/>
          <w:sz w:val="28"/>
          <w:szCs w:val="28"/>
          <w:lang w:val="en-US" w:eastAsia="zh-CN"/>
        </w:rPr>
        <w:t>6时3</w:t>
      </w:r>
      <w:r>
        <w:rPr>
          <w:rFonts w:hint="eastAsia"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en-US" w:eastAsia="zh-CN"/>
        </w:rPr>
        <w:t>分</w:t>
      </w:r>
      <w:r>
        <w:rPr>
          <w:rFonts w:hint="eastAsia" w:ascii="方正仿宋_GBK" w:hAnsi="方正仿宋_GBK" w:eastAsia="方正仿宋_GBK" w:cs="方正仿宋_GBK"/>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2、磋商文</w:t>
      </w:r>
      <w:r>
        <w:rPr>
          <w:rFonts w:hint="eastAsia" w:ascii="方正仿宋_GBK" w:hAnsi="方正仿宋_GBK" w:eastAsia="方正仿宋_GBK" w:cs="方正仿宋_GBK"/>
          <w:color w:val="auto"/>
          <w:kern w:val="2"/>
          <w:sz w:val="28"/>
          <w:szCs w:val="28"/>
          <w:lang w:val="en-US" w:eastAsia="zh-CN" w:bidi="ar-SA"/>
        </w:rPr>
        <w:t>件获取：</w:t>
      </w:r>
      <w:r>
        <w:rPr>
          <w:rFonts w:hint="eastAsia" w:ascii="方正仿宋_GBK" w:hAnsi="方正仿宋_GBK" w:eastAsia="方正仿宋_GBK" w:cs="方正仿宋_GBK"/>
          <w:color w:val="auto"/>
          <w:sz w:val="28"/>
          <w:szCs w:val="28"/>
        </w:rPr>
        <w:t>在重庆银行官网（http://www.cqcbank.com/）获取磋商文件、答疑、补遗等文件。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四、采购</w:t>
      </w:r>
      <w:r>
        <w:rPr>
          <w:rFonts w:hint="eastAsia" w:ascii="方正仿宋_GBK" w:hAnsi="方正仿宋_GBK" w:eastAsia="方正仿宋_GBK" w:cs="方正仿宋_GBK"/>
          <w:b/>
          <w:color w:val="auto"/>
          <w:sz w:val="28"/>
          <w:szCs w:val="28"/>
          <w:lang w:val="en-US" w:eastAsia="zh-CN"/>
        </w:rPr>
        <w:t>响应</w:t>
      </w:r>
      <w:r>
        <w:rPr>
          <w:rFonts w:hint="eastAsia" w:ascii="方正仿宋_GBK" w:hAnsi="方正仿宋_GBK" w:eastAsia="方正仿宋_GBK" w:cs="方正仿宋_GBK"/>
          <w:b/>
          <w:color w:val="auto"/>
          <w:sz w:val="28"/>
          <w:szCs w:val="28"/>
        </w:rPr>
        <w:t>保证金</w:t>
      </w:r>
      <w:r>
        <w:rPr>
          <w:rFonts w:hint="eastAsia" w:ascii="方正仿宋_GBK" w:hAnsi="方正仿宋_GBK" w:eastAsia="方正仿宋_GBK" w:cs="方正仿宋_GBK"/>
          <w:b/>
          <w:color w:val="auto"/>
          <w:sz w:val="28"/>
          <w:szCs w:val="28"/>
          <w:lang w:val="en-US" w:eastAsia="zh-CN"/>
        </w:rPr>
        <w:t>金额</w:t>
      </w:r>
      <w:r>
        <w:rPr>
          <w:rFonts w:hint="eastAsia" w:ascii="方正仿宋_GBK" w:hAnsi="方正仿宋_GBK" w:eastAsia="方正仿宋_GBK" w:cs="方正仿宋_GBK"/>
          <w:b/>
          <w:color w:val="auto"/>
          <w:sz w:val="28"/>
          <w:szCs w:val="28"/>
        </w:rPr>
        <w:t>：</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6万元</w:t>
      </w:r>
      <w:r>
        <w:rPr>
          <w:rFonts w:hint="eastAsia" w:ascii="方正仿宋_GBK" w:hAnsi="方正仿宋_GBK" w:eastAsia="方正仿宋_GBK" w:cs="方正仿宋_GBK"/>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lang w:val="en-US" w:eastAsia="zh-CN"/>
        </w:rPr>
        <w:t>五、磋商</w:t>
      </w:r>
      <w:r>
        <w:rPr>
          <w:rFonts w:hint="eastAsia" w:ascii="方正仿宋_GBK" w:hAnsi="方正仿宋_GBK" w:eastAsia="方正仿宋_GBK" w:cs="方正仿宋_GBK"/>
          <w:b/>
          <w:color w:val="auto"/>
          <w:sz w:val="28"/>
          <w:szCs w:val="28"/>
        </w:rPr>
        <w:t>文件递交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递交截止时间：</w:t>
      </w:r>
      <w:r>
        <w:rPr>
          <w:rFonts w:hint="eastAsia" w:ascii="方正仿宋_GBK" w:hAnsi="方正仿宋_GBK" w:eastAsia="方正仿宋_GBK" w:cs="方正仿宋_GBK"/>
          <w:color w:val="auto"/>
          <w:sz w:val="28"/>
          <w:szCs w:val="28"/>
          <w:u w:val="single"/>
        </w:rPr>
        <w:t>2023年</w:t>
      </w:r>
      <w:r>
        <w:rPr>
          <w:rFonts w:hint="eastAsia" w:ascii="方正仿宋_GBK" w:hAnsi="方正仿宋_GBK" w:eastAsia="方正仿宋_GBK" w:cs="方正仿宋_GBK"/>
          <w:color w:val="auto"/>
          <w:sz w:val="28"/>
          <w:szCs w:val="28"/>
          <w:u w:val="single"/>
          <w:lang w:val="en-US" w:eastAsia="zh-CN"/>
        </w:rPr>
        <w:t>12</w:t>
      </w:r>
      <w:r>
        <w:rPr>
          <w:rFonts w:hint="eastAsia" w:ascii="方正仿宋_GBK" w:hAnsi="方正仿宋_GBK" w:eastAsia="方正仿宋_GBK" w:cs="方正仿宋_GBK"/>
          <w:color w:val="auto"/>
          <w:sz w:val="28"/>
          <w:szCs w:val="28"/>
          <w:u w:val="single"/>
        </w:rPr>
        <w:t>月</w:t>
      </w:r>
      <w:r>
        <w:rPr>
          <w:rFonts w:hint="eastAsia" w:ascii="方正仿宋_GBK" w:hAnsi="方正仿宋_GBK" w:eastAsia="方正仿宋_GBK" w:cs="方正仿宋_GBK"/>
          <w:color w:val="auto"/>
          <w:sz w:val="28"/>
          <w:szCs w:val="28"/>
          <w:u w:val="single"/>
          <w:lang w:val="en-US" w:eastAsia="zh-CN"/>
        </w:rPr>
        <w:t>8</w:t>
      </w:r>
      <w:r>
        <w:rPr>
          <w:rFonts w:hint="eastAsia" w:ascii="方正仿宋_GBK" w:hAnsi="方正仿宋_GBK" w:eastAsia="方正仿宋_GBK" w:cs="方正仿宋_GBK"/>
          <w:color w:val="auto"/>
          <w:sz w:val="28"/>
          <w:szCs w:val="28"/>
          <w:u w:val="single"/>
        </w:rPr>
        <w:t>日</w:t>
      </w:r>
      <w:r>
        <w:rPr>
          <w:rFonts w:hint="eastAsia" w:ascii="方正仿宋_GBK" w:hAnsi="方正仿宋_GBK" w:eastAsia="方正仿宋_GBK" w:cs="方正仿宋_GBK"/>
          <w:color w:val="auto"/>
          <w:sz w:val="28"/>
          <w:szCs w:val="28"/>
          <w:u w:val="single"/>
          <w:lang w:val="en-US" w:eastAsia="zh-CN"/>
        </w:rPr>
        <w:t>14时30分</w:t>
      </w:r>
      <w:r>
        <w:rPr>
          <w:rFonts w:hint="eastAsia" w:ascii="方正仿宋_GBK" w:hAnsi="方正仿宋_GBK" w:eastAsia="方正仿宋_GBK" w:cs="方正仿宋_GBK"/>
          <w:color w:val="auto"/>
          <w:sz w:val="28"/>
          <w:szCs w:val="28"/>
        </w:rPr>
        <w:t>（北京时间）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递交方式：重庆市江北区江北城街道永平门街6号重庆银行股份有限公司28楼开标室。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本项目不需要报名，直接</w:t>
      </w:r>
      <w:r>
        <w:rPr>
          <w:rFonts w:hint="eastAsia" w:ascii="方正仿宋_GBK" w:hAnsi="方正仿宋_GBK" w:eastAsia="方正仿宋_GBK" w:cs="方正仿宋_GBK"/>
          <w:color w:val="auto"/>
          <w:sz w:val="28"/>
          <w:szCs w:val="28"/>
          <w:lang w:val="en-US" w:eastAsia="zh-CN"/>
        </w:rPr>
        <w:t>现场</w:t>
      </w:r>
      <w:r>
        <w:rPr>
          <w:rFonts w:hint="eastAsia" w:ascii="方正仿宋_GBK" w:hAnsi="方正仿宋_GBK" w:eastAsia="方正仿宋_GBK" w:cs="方正仿宋_GBK"/>
          <w:color w:val="auto"/>
          <w:sz w:val="28"/>
          <w:szCs w:val="28"/>
        </w:rPr>
        <w:t>递交响应文件。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lang w:val="en-US" w:eastAsia="zh-CN"/>
        </w:rPr>
        <w:t>六</w:t>
      </w:r>
      <w:r>
        <w:rPr>
          <w:rFonts w:hint="eastAsia" w:ascii="方正仿宋_GBK" w:hAnsi="方正仿宋_GBK" w:eastAsia="方正仿宋_GBK" w:cs="方正仿宋_GBK"/>
          <w:b/>
          <w:color w:val="auto"/>
          <w:sz w:val="28"/>
          <w:szCs w:val="28"/>
        </w:rPr>
        <w:t>、开标时间及地点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u w:val="single"/>
        </w:rPr>
      </w:pPr>
      <w:r>
        <w:rPr>
          <w:rFonts w:hint="eastAsia" w:ascii="方正仿宋_GBK" w:hAnsi="方正仿宋_GBK" w:eastAsia="方正仿宋_GBK" w:cs="方正仿宋_GBK"/>
          <w:color w:val="auto"/>
          <w:sz w:val="28"/>
          <w:szCs w:val="28"/>
        </w:rPr>
        <w:t>开标时间：</w:t>
      </w:r>
      <w:r>
        <w:rPr>
          <w:rFonts w:hint="eastAsia" w:ascii="方正仿宋_GBK" w:hAnsi="方正仿宋_GBK" w:eastAsia="方正仿宋_GBK" w:cs="方正仿宋_GBK"/>
          <w:color w:val="auto"/>
          <w:sz w:val="28"/>
          <w:szCs w:val="28"/>
          <w:u w:val="single"/>
        </w:rPr>
        <w:t>2023年</w:t>
      </w:r>
      <w:r>
        <w:rPr>
          <w:rFonts w:hint="eastAsia" w:ascii="方正仿宋_GBK" w:hAnsi="方正仿宋_GBK" w:eastAsia="方正仿宋_GBK" w:cs="方正仿宋_GBK"/>
          <w:color w:val="auto"/>
          <w:sz w:val="28"/>
          <w:szCs w:val="28"/>
          <w:u w:val="single"/>
          <w:lang w:val="en-US" w:eastAsia="zh-CN"/>
        </w:rPr>
        <w:t>12</w:t>
      </w:r>
      <w:r>
        <w:rPr>
          <w:rFonts w:hint="eastAsia" w:ascii="方正仿宋_GBK" w:hAnsi="方正仿宋_GBK" w:eastAsia="方正仿宋_GBK" w:cs="方正仿宋_GBK"/>
          <w:color w:val="auto"/>
          <w:sz w:val="28"/>
          <w:szCs w:val="28"/>
          <w:u w:val="single"/>
        </w:rPr>
        <w:t>月</w:t>
      </w:r>
      <w:r>
        <w:rPr>
          <w:rFonts w:hint="eastAsia" w:ascii="方正仿宋_GBK" w:hAnsi="方正仿宋_GBK" w:eastAsia="方正仿宋_GBK" w:cs="方正仿宋_GBK"/>
          <w:color w:val="auto"/>
          <w:sz w:val="28"/>
          <w:szCs w:val="28"/>
          <w:u w:val="single"/>
          <w:lang w:val="en-US" w:eastAsia="zh-CN"/>
        </w:rPr>
        <w:t>8</w:t>
      </w:r>
      <w:r>
        <w:rPr>
          <w:rFonts w:hint="eastAsia" w:ascii="方正仿宋_GBK" w:hAnsi="方正仿宋_GBK" w:eastAsia="方正仿宋_GBK" w:cs="方正仿宋_GBK"/>
          <w:color w:val="auto"/>
          <w:sz w:val="28"/>
          <w:szCs w:val="28"/>
          <w:u w:val="single"/>
        </w:rPr>
        <w:t>日</w:t>
      </w:r>
      <w:r>
        <w:rPr>
          <w:rFonts w:hint="eastAsia" w:ascii="方正仿宋_GBK" w:hAnsi="方正仿宋_GBK" w:eastAsia="方正仿宋_GBK" w:cs="方正仿宋_GBK"/>
          <w:color w:val="auto"/>
          <w:sz w:val="28"/>
          <w:szCs w:val="28"/>
          <w:u w:val="single"/>
          <w:lang w:val="en-US" w:eastAsia="zh-CN"/>
        </w:rPr>
        <w:t>14时30分</w:t>
      </w:r>
      <w:r>
        <w:rPr>
          <w:rFonts w:hint="eastAsia" w:ascii="方正仿宋_GBK" w:hAnsi="方正仿宋_GBK" w:eastAsia="方正仿宋_GBK" w:cs="方正仿宋_GBK"/>
          <w:color w:val="auto"/>
          <w:sz w:val="28"/>
          <w:szCs w:val="28"/>
        </w:rPr>
        <w:t>（北京时间）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开标地点：重庆市江北区江北城街道永平门街6号重庆银行股份有限公司28楼开标室。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9"/>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color w:val="auto"/>
          <w:sz w:val="28"/>
          <w:szCs w:val="28"/>
        </w:rPr>
        <w:t>七、联系事项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rPr>
        <w:t>采购人：重庆银行股份有限公司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联系人：王老师</w:t>
      </w:r>
    </w:p>
    <w:p>
      <w:pPr>
        <w:keepNext w:val="0"/>
        <w:keepLines w:val="0"/>
        <w:pageBreakBefore w:val="0"/>
        <w:widowControl w:val="0"/>
        <w:tabs>
          <w:tab w:val="left" w:pos="2940"/>
        </w:tabs>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话：  63367104</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w:t>
      </w:r>
      <w:r>
        <w:rPr>
          <w:rFonts w:hint="eastAsia" w:ascii="方正仿宋_GBK" w:hAnsi="方正仿宋_GBK" w:eastAsia="方正仿宋_GBK" w:cs="方正仿宋_GBK"/>
          <w:color w:val="auto"/>
          <w:sz w:val="28"/>
          <w:szCs w:val="28"/>
          <w:lang w:val="en-US" w:eastAsia="zh-CN"/>
        </w:rPr>
        <w:t xml:space="preserve">  </w:t>
      </w:r>
      <w:bookmarkStart w:id="2" w:name="_GoBack"/>
      <w:bookmarkEnd w:id="2"/>
      <w:r>
        <w:rPr>
          <w:rFonts w:hint="eastAsia" w:ascii="方正仿宋_GBK" w:hAnsi="方正仿宋_GBK" w:eastAsia="方正仿宋_GBK" w:cs="方正仿宋_GBK"/>
          <w:color w:val="auto"/>
          <w:sz w:val="28"/>
          <w:szCs w:val="28"/>
        </w:rPr>
        <w:t>址：重庆市江北区江北城街道永平门街6号重庆银行股份有限公司</w:t>
      </w:r>
    </w:p>
    <w:p>
      <w:pPr>
        <w:spacing w:line="240" w:lineRule="exact"/>
        <w:rPr>
          <w:rFonts w:ascii="宋体" w:hAnsi="宋体"/>
          <w:b/>
          <w:color w:val="000000" w:themeColor="text1"/>
          <w:sz w:val="36"/>
          <w:szCs w:val="36"/>
        </w:rPr>
      </w:pPr>
    </w:p>
    <w:sectPr>
      <w:footerReference r:id="rId3" w:type="default"/>
      <w:footerReference r:id="rId4" w:type="even"/>
      <w:pgSz w:w="12240" w:h="15840"/>
      <w:pgMar w:top="1440" w:right="1729" w:bottom="1440" w:left="170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简仿宋">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5"/>
      </w:rPr>
    </w:pPr>
    <w:r>
      <w:fldChar w:fldCharType="begin"/>
    </w:r>
    <w:r>
      <w:rPr>
        <w:rStyle w:val="35"/>
      </w:rPr>
      <w:instrText xml:space="preserve">PAGE  </w:instrText>
    </w:r>
    <w:r>
      <w:fldChar w:fldCharType="separate"/>
    </w:r>
    <w:r>
      <w:rPr>
        <w:rStyle w:val="35"/>
      </w:rPr>
      <w:t>3</w:t>
    </w:r>
    <w:r>
      <w:fldChar w:fldCharType="end"/>
    </w:r>
  </w:p>
  <w:p>
    <w:pPr>
      <w:pStyle w:val="2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5"/>
      </w:rPr>
    </w:pPr>
    <w:r>
      <w:fldChar w:fldCharType="begin"/>
    </w:r>
    <w:r>
      <w:rPr>
        <w:rStyle w:val="35"/>
      </w:rPr>
      <w:instrText xml:space="preserve">PAGE  </w:instrText>
    </w:r>
    <w:r>
      <w:fldChar w:fldCharType="end"/>
    </w:r>
  </w:p>
  <w:p>
    <w:pPr>
      <w:pStyle w:val="2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7747"/>
    <w:multiLevelType w:val="singleLevel"/>
    <w:tmpl w:val="653B7747"/>
    <w:lvl w:ilvl="0" w:tentative="0">
      <w:start w:val="3"/>
      <w:numFmt w:val="chineseCounting"/>
      <w:suff w:val="nothing"/>
      <w:lvlText w:val="%1、"/>
      <w:lvlJc w:val="left"/>
    </w:lvl>
  </w:abstractNum>
  <w:abstractNum w:abstractNumId="1">
    <w:nsid w:val="6DA4DEF5"/>
    <w:multiLevelType w:val="singleLevel"/>
    <w:tmpl w:val="6DA4DEF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C77A3"/>
    <w:rsid w:val="000004CF"/>
    <w:rsid w:val="0000427C"/>
    <w:rsid w:val="000111DE"/>
    <w:rsid w:val="00012C86"/>
    <w:rsid w:val="00022491"/>
    <w:rsid w:val="00026DA8"/>
    <w:rsid w:val="00034375"/>
    <w:rsid w:val="00034A4E"/>
    <w:rsid w:val="00041340"/>
    <w:rsid w:val="000420E3"/>
    <w:rsid w:val="0004254E"/>
    <w:rsid w:val="00044063"/>
    <w:rsid w:val="0004767B"/>
    <w:rsid w:val="0005070E"/>
    <w:rsid w:val="00053209"/>
    <w:rsid w:val="00055CDC"/>
    <w:rsid w:val="00057D3D"/>
    <w:rsid w:val="00064B69"/>
    <w:rsid w:val="00066B27"/>
    <w:rsid w:val="00066DEF"/>
    <w:rsid w:val="0007380E"/>
    <w:rsid w:val="00076E15"/>
    <w:rsid w:val="00085245"/>
    <w:rsid w:val="000923CF"/>
    <w:rsid w:val="0009281A"/>
    <w:rsid w:val="000929D5"/>
    <w:rsid w:val="00093AB5"/>
    <w:rsid w:val="0009784F"/>
    <w:rsid w:val="000A0676"/>
    <w:rsid w:val="000A4EC7"/>
    <w:rsid w:val="000A6269"/>
    <w:rsid w:val="000A6C17"/>
    <w:rsid w:val="000A7463"/>
    <w:rsid w:val="000B031C"/>
    <w:rsid w:val="000B30DC"/>
    <w:rsid w:val="000B77AC"/>
    <w:rsid w:val="000C4163"/>
    <w:rsid w:val="000C4499"/>
    <w:rsid w:val="000C5879"/>
    <w:rsid w:val="000C6D65"/>
    <w:rsid w:val="000C7793"/>
    <w:rsid w:val="000E0FA7"/>
    <w:rsid w:val="000E3318"/>
    <w:rsid w:val="000E6FB7"/>
    <w:rsid w:val="000F2E21"/>
    <w:rsid w:val="0010333A"/>
    <w:rsid w:val="00111B6E"/>
    <w:rsid w:val="001129A9"/>
    <w:rsid w:val="00114AE8"/>
    <w:rsid w:val="00117A07"/>
    <w:rsid w:val="00123108"/>
    <w:rsid w:val="00124C87"/>
    <w:rsid w:val="0012518C"/>
    <w:rsid w:val="001265CB"/>
    <w:rsid w:val="00131CED"/>
    <w:rsid w:val="00134F7B"/>
    <w:rsid w:val="001425D4"/>
    <w:rsid w:val="001479D4"/>
    <w:rsid w:val="001514B1"/>
    <w:rsid w:val="0015575E"/>
    <w:rsid w:val="00163343"/>
    <w:rsid w:val="00163C40"/>
    <w:rsid w:val="00172ECA"/>
    <w:rsid w:val="00174682"/>
    <w:rsid w:val="00174944"/>
    <w:rsid w:val="00181EE8"/>
    <w:rsid w:val="00183136"/>
    <w:rsid w:val="00183D67"/>
    <w:rsid w:val="00185A94"/>
    <w:rsid w:val="00187F2C"/>
    <w:rsid w:val="001912B0"/>
    <w:rsid w:val="00192A06"/>
    <w:rsid w:val="00194193"/>
    <w:rsid w:val="001943B0"/>
    <w:rsid w:val="00196C18"/>
    <w:rsid w:val="001A194B"/>
    <w:rsid w:val="001A2DFD"/>
    <w:rsid w:val="001A3430"/>
    <w:rsid w:val="001A34A5"/>
    <w:rsid w:val="001A7622"/>
    <w:rsid w:val="001B1C06"/>
    <w:rsid w:val="001B22F2"/>
    <w:rsid w:val="001B4EDD"/>
    <w:rsid w:val="001B5C04"/>
    <w:rsid w:val="001B6342"/>
    <w:rsid w:val="001C1A81"/>
    <w:rsid w:val="001C350D"/>
    <w:rsid w:val="001C39C3"/>
    <w:rsid w:val="001C42E5"/>
    <w:rsid w:val="001C76C1"/>
    <w:rsid w:val="001C77A3"/>
    <w:rsid w:val="001D1B2F"/>
    <w:rsid w:val="001D4917"/>
    <w:rsid w:val="001E128D"/>
    <w:rsid w:val="001E187B"/>
    <w:rsid w:val="001E2206"/>
    <w:rsid w:val="001E6359"/>
    <w:rsid w:val="001F424D"/>
    <w:rsid w:val="001F7FAE"/>
    <w:rsid w:val="0020037D"/>
    <w:rsid w:val="00202E84"/>
    <w:rsid w:val="002036E0"/>
    <w:rsid w:val="002155CE"/>
    <w:rsid w:val="00217017"/>
    <w:rsid w:val="00217D55"/>
    <w:rsid w:val="00220D96"/>
    <w:rsid w:val="002212CD"/>
    <w:rsid w:val="00222888"/>
    <w:rsid w:val="002233DE"/>
    <w:rsid w:val="002240EB"/>
    <w:rsid w:val="00227E7A"/>
    <w:rsid w:val="002349D9"/>
    <w:rsid w:val="0023751E"/>
    <w:rsid w:val="0024028B"/>
    <w:rsid w:val="00242360"/>
    <w:rsid w:val="00250B0E"/>
    <w:rsid w:val="00254CE7"/>
    <w:rsid w:val="00257226"/>
    <w:rsid w:val="0025760D"/>
    <w:rsid w:val="00257B1A"/>
    <w:rsid w:val="00260F4F"/>
    <w:rsid w:val="00263E05"/>
    <w:rsid w:val="00264E7F"/>
    <w:rsid w:val="0026536B"/>
    <w:rsid w:val="0026567C"/>
    <w:rsid w:val="00267677"/>
    <w:rsid w:val="00271706"/>
    <w:rsid w:val="0027201D"/>
    <w:rsid w:val="0027262D"/>
    <w:rsid w:val="00272A15"/>
    <w:rsid w:val="00276E7E"/>
    <w:rsid w:val="002771F1"/>
    <w:rsid w:val="00277DDA"/>
    <w:rsid w:val="00281975"/>
    <w:rsid w:val="00283BBF"/>
    <w:rsid w:val="002902AB"/>
    <w:rsid w:val="002955CC"/>
    <w:rsid w:val="0029652D"/>
    <w:rsid w:val="002A09FC"/>
    <w:rsid w:val="002A6386"/>
    <w:rsid w:val="002A72AE"/>
    <w:rsid w:val="002B1B4E"/>
    <w:rsid w:val="002B5ED3"/>
    <w:rsid w:val="002C0A77"/>
    <w:rsid w:val="002C5FC4"/>
    <w:rsid w:val="002D0D97"/>
    <w:rsid w:val="002D5832"/>
    <w:rsid w:val="002D7A46"/>
    <w:rsid w:val="002D7C9A"/>
    <w:rsid w:val="002E3C51"/>
    <w:rsid w:val="002E5BA3"/>
    <w:rsid w:val="002E5D15"/>
    <w:rsid w:val="002E7BFB"/>
    <w:rsid w:val="002F0C70"/>
    <w:rsid w:val="002F1F46"/>
    <w:rsid w:val="002F2485"/>
    <w:rsid w:val="002F5BC2"/>
    <w:rsid w:val="002F71B6"/>
    <w:rsid w:val="00301260"/>
    <w:rsid w:val="00306F0B"/>
    <w:rsid w:val="003118AA"/>
    <w:rsid w:val="00313CFD"/>
    <w:rsid w:val="003150B2"/>
    <w:rsid w:val="003159D1"/>
    <w:rsid w:val="00317DF9"/>
    <w:rsid w:val="00325DDE"/>
    <w:rsid w:val="00326972"/>
    <w:rsid w:val="00330C44"/>
    <w:rsid w:val="003315EE"/>
    <w:rsid w:val="003320E7"/>
    <w:rsid w:val="00340F11"/>
    <w:rsid w:val="00342894"/>
    <w:rsid w:val="0034650F"/>
    <w:rsid w:val="003559D8"/>
    <w:rsid w:val="00355D68"/>
    <w:rsid w:val="00360D4C"/>
    <w:rsid w:val="00361992"/>
    <w:rsid w:val="003649BE"/>
    <w:rsid w:val="00371EB8"/>
    <w:rsid w:val="00372DC2"/>
    <w:rsid w:val="003746B1"/>
    <w:rsid w:val="00375786"/>
    <w:rsid w:val="00376711"/>
    <w:rsid w:val="0038145C"/>
    <w:rsid w:val="00383491"/>
    <w:rsid w:val="003858B7"/>
    <w:rsid w:val="00390E2E"/>
    <w:rsid w:val="0039295C"/>
    <w:rsid w:val="00394C28"/>
    <w:rsid w:val="003B36E1"/>
    <w:rsid w:val="003B4A62"/>
    <w:rsid w:val="003B4CBC"/>
    <w:rsid w:val="003B5899"/>
    <w:rsid w:val="003B6BBC"/>
    <w:rsid w:val="003C4B4C"/>
    <w:rsid w:val="003D137C"/>
    <w:rsid w:val="003D1EEA"/>
    <w:rsid w:val="003D5BE0"/>
    <w:rsid w:val="003D768B"/>
    <w:rsid w:val="003E0794"/>
    <w:rsid w:val="003E15F6"/>
    <w:rsid w:val="003E5EA0"/>
    <w:rsid w:val="003F093B"/>
    <w:rsid w:val="003F3C32"/>
    <w:rsid w:val="003F7770"/>
    <w:rsid w:val="003F78EF"/>
    <w:rsid w:val="00410532"/>
    <w:rsid w:val="004116E4"/>
    <w:rsid w:val="004161B6"/>
    <w:rsid w:val="00416AD1"/>
    <w:rsid w:val="00416BE0"/>
    <w:rsid w:val="0042112F"/>
    <w:rsid w:val="00423C3E"/>
    <w:rsid w:val="00424505"/>
    <w:rsid w:val="004264AB"/>
    <w:rsid w:val="0043132B"/>
    <w:rsid w:val="0043692D"/>
    <w:rsid w:val="00441F1B"/>
    <w:rsid w:val="00446375"/>
    <w:rsid w:val="00451F7A"/>
    <w:rsid w:val="00467027"/>
    <w:rsid w:val="004715E6"/>
    <w:rsid w:val="00473791"/>
    <w:rsid w:val="00481FDE"/>
    <w:rsid w:val="00485D8F"/>
    <w:rsid w:val="00491A10"/>
    <w:rsid w:val="004942E2"/>
    <w:rsid w:val="00494ACC"/>
    <w:rsid w:val="00495311"/>
    <w:rsid w:val="004A31AC"/>
    <w:rsid w:val="004A5160"/>
    <w:rsid w:val="004A72B3"/>
    <w:rsid w:val="004A7A59"/>
    <w:rsid w:val="004B02F2"/>
    <w:rsid w:val="004B4E63"/>
    <w:rsid w:val="004B7821"/>
    <w:rsid w:val="004C05C1"/>
    <w:rsid w:val="004C7A00"/>
    <w:rsid w:val="004D3721"/>
    <w:rsid w:val="004D6849"/>
    <w:rsid w:val="004D6864"/>
    <w:rsid w:val="004E49E0"/>
    <w:rsid w:val="004E628D"/>
    <w:rsid w:val="004F12ED"/>
    <w:rsid w:val="004F1E4F"/>
    <w:rsid w:val="004F258E"/>
    <w:rsid w:val="004F2E88"/>
    <w:rsid w:val="004F3621"/>
    <w:rsid w:val="00502167"/>
    <w:rsid w:val="00502D0F"/>
    <w:rsid w:val="005039BC"/>
    <w:rsid w:val="00504F83"/>
    <w:rsid w:val="005060C2"/>
    <w:rsid w:val="005100CD"/>
    <w:rsid w:val="00511357"/>
    <w:rsid w:val="005160BB"/>
    <w:rsid w:val="005179FB"/>
    <w:rsid w:val="00521B5C"/>
    <w:rsid w:val="00523694"/>
    <w:rsid w:val="0052573B"/>
    <w:rsid w:val="0053378E"/>
    <w:rsid w:val="00534AEB"/>
    <w:rsid w:val="00534CE7"/>
    <w:rsid w:val="00542289"/>
    <w:rsid w:val="00543206"/>
    <w:rsid w:val="00544DF7"/>
    <w:rsid w:val="0054737A"/>
    <w:rsid w:val="00550F06"/>
    <w:rsid w:val="00562A21"/>
    <w:rsid w:val="0056593D"/>
    <w:rsid w:val="00570A51"/>
    <w:rsid w:val="00570B64"/>
    <w:rsid w:val="00573775"/>
    <w:rsid w:val="00573D09"/>
    <w:rsid w:val="0057738A"/>
    <w:rsid w:val="005815E2"/>
    <w:rsid w:val="0059562D"/>
    <w:rsid w:val="005A5C94"/>
    <w:rsid w:val="005B04BE"/>
    <w:rsid w:val="005B0D5E"/>
    <w:rsid w:val="005B1FC0"/>
    <w:rsid w:val="005B65EA"/>
    <w:rsid w:val="005B7AB2"/>
    <w:rsid w:val="005C7651"/>
    <w:rsid w:val="005D295F"/>
    <w:rsid w:val="005D48A0"/>
    <w:rsid w:val="005E051F"/>
    <w:rsid w:val="005E3280"/>
    <w:rsid w:val="005E4354"/>
    <w:rsid w:val="005E72E8"/>
    <w:rsid w:val="005E7FCC"/>
    <w:rsid w:val="005F1B28"/>
    <w:rsid w:val="005F469B"/>
    <w:rsid w:val="005F6D2B"/>
    <w:rsid w:val="00600231"/>
    <w:rsid w:val="006028EC"/>
    <w:rsid w:val="00603765"/>
    <w:rsid w:val="00605B88"/>
    <w:rsid w:val="0060718C"/>
    <w:rsid w:val="006072EF"/>
    <w:rsid w:val="006115FC"/>
    <w:rsid w:val="006239D2"/>
    <w:rsid w:val="00624C2C"/>
    <w:rsid w:val="0062685E"/>
    <w:rsid w:val="006301F3"/>
    <w:rsid w:val="00631468"/>
    <w:rsid w:val="00631A5A"/>
    <w:rsid w:val="00633C51"/>
    <w:rsid w:val="00636CB0"/>
    <w:rsid w:val="00637433"/>
    <w:rsid w:val="00646A67"/>
    <w:rsid w:val="00647334"/>
    <w:rsid w:val="00651ABA"/>
    <w:rsid w:val="006551FE"/>
    <w:rsid w:val="00661EDD"/>
    <w:rsid w:val="00663031"/>
    <w:rsid w:val="00663B94"/>
    <w:rsid w:val="00663E4E"/>
    <w:rsid w:val="00666280"/>
    <w:rsid w:val="00667EDC"/>
    <w:rsid w:val="00670109"/>
    <w:rsid w:val="0067189F"/>
    <w:rsid w:val="00686DCB"/>
    <w:rsid w:val="00695998"/>
    <w:rsid w:val="0069746E"/>
    <w:rsid w:val="006A2137"/>
    <w:rsid w:val="006A3E77"/>
    <w:rsid w:val="006A57FE"/>
    <w:rsid w:val="006A60E8"/>
    <w:rsid w:val="006B0953"/>
    <w:rsid w:val="006B1179"/>
    <w:rsid w:val="006B1DF5"/>
    <w:rsid w:val="006B3F5D"/>
    <w:rsid w:val="006C0355"/>
    <w:rsid w:val="006C1A4D"/>
    <w:rsid w:val="006D00A2"/>
    <w:rsid w:val="006D1522"/>
    <w:rsid w:val="006E225D"/>
    <w:rsid w:val="006E4721"/>
    <w:rsid w:val="006F0D30"/>
    <w:rsid w:val="006F43B9"/>
    <w:rsid w:val="006F5817"/>
    <w:rsid w:val="006F7A07"/>
    <w:rsid w:val="0070227D"/>
    <w:rsid w:val="00702936"/>
    <w:rsid w:val="00703181"/>
    <w:rsid w:val="007048E2"/>
    <w:rsid w:val="007062B8"/>
    <w:rsid w:val="00712006"/>
    <w:rsid w:val="00714BB6"/>
    <w:rsid w:val="007169D6"/>
    <w:rsid w:val="007219D0"/>
    <w:rsid w:val="007243EA"/>
    <w:rsid w:val="00724780"/>
    <w:rsid w:val="00725C10"/>
    <w:rsid w:val="00725F99"/>
    <w:rsid w:val="00730227"/>
    <w:rsid w:val="00734B3D"/>
    <w:rsid w:val="00737976"/>
    <w:rsid w:val="007402B4"/>
    <w:rsid w:val="00741602"/>
    <w:rsid w:val="007440B2"/>
    <w:rsid w:val="00745DF6"/>
    <w:rsid w:val="007614A4"/>
    <w:rsid w:val="0076757F"/>
    <w:rsid w:val="007905CB"/>
    <w:rsid w:val="00791980"/>
    <w:rsid w:val="00794F53"/>
    <w:rsid w:val="0079586A"/>
    <w:rsid w:val="00797F41"/>
    <w:rsid w:val="007B1131"/>
    <w:rsid w:val="007B48DB"/>
    <w:rsid w:val="007C0DA2"/>
    <w:rsid w:val="007C7A1D"/>
    <w:rsid w:val="007D3BD0"/>
    <w:rsid w:val="007D506D"/>
    <w:rsid w:val="007D76A6"/>
    <w:rsid w:val="007D7E23"/>
    <w:rsid w:val="007E2BC7"/>
    <w:rsid w:val="007E64DD"/>
    <w:rsid w:val="007E7099"/>
    <w:rsid w:val="007F0D8F"/>
    <w:rsid w:val="007F36CB"/>
    <w:rsid w:val="007F5D79"/>
    <w:rsid w:val="0080587B"/>
    <w:rsid w:val="00813BBD"/>
    <w:rsid w:val="00814D50"/>
    <w:rsid w:val="008174A7"/>
    <w:rsid w:val="00820C42"/>
    <w:rsid w:val="0082407F"/>
    <w:rsid w:val="008243E0"/>
    <w:rsid w:val="00825FBF"/>
    <w:rsid w:val="008263FA"/>
    <w:rsid w:val="00832165"/>
    <w:rsid w:val="00836046"/>
    <w:rsid w:val="00836F1A"/>
    <w:rsid w:val="00840001"/>
    <w:rsid w:val="00850CD1"/>
    <w:rsid w:val="008530A1"/>
    <w:rsid w:val="00853A88"/>
    <w:rsid w:val="0085563F"/>
    <w:rsid w:val="008556D3"/>
    <w:rsid w:val="008603A4"/>
    <w:rsid w:val="008670C8"/>
    <w:rsid w:val="0087091C"/>
    <w:rsid w:val="00870C1D"/>
    <w:rsid w:val="00874671"/>
    <w:rsid w:val="0087668B"/>
    <w:rsid w:val="00877F5C"/>
    <w:rsid w:val="008861C5"/>
    <w:rsid w:val="008913D5"/>
    <w:rsid w:val="008A6F35"/>
    <w:rsid w:val="008B20D2"/>
    <w:rsid w:val="008B2307"/>
    <w:rsid w:val="008B2F81"/>
    <w:rsid w:val="008B32A5"/>
    <w:rsid w:val="008B4B70"/>
    <w:rsid w:val="008B5020"/>
    <w:rsid w:val="008B5D7C"/>
    <w:rsid w:val="008B7591"/>
    <w:rsid w:val="008B7E97"/>
    <w:rsid w:val="008C088F"/>
    <w:rsid w:val="008C6BEC"/>
    <w:rsid w:val="008D0F3F"/>
    <w:rsid w:val="008D693E"/>
    <w:rsid w:val="008E1BD9"/>
    <w:rsid w:val="008E1C85"/>
    <w:rsid w:val="008E1E7F"/>
    <w:rsid w:val="008E4168"/>
    <w:rsid w:val="008E690A"/>
    <w:rsid w:val="008E7462"/>
    <w:rsid w:val="008E7B07"/>
    <w:rsid w:val="008F0655"/>
    <w:rsid w:val="008F2685"/>
    <w:rsid w:val="008F47DF"/>
    <w:rsid w:val="008F52B8"/>
    <w:rsid w:val="008F7D12"/>
    <w:rsid w:val="00900F7E"/>
    <w:rsid w:val="00905F8A"/>
    <w:rsid w:val="00915103"/>
    <w:rsid w:val="0091588F"/>
    <w:rsid w:val="0091668E"/>
    <w:rsid w:val="00920638"/>
    <w:rsid w:val="009243F1"/>
    <w:rsid w:val="00925309"/>
    <w:rsid w:val="00927F6B"/>
    <w:rsid w:val="00930D8A"/>
    <w:rsid w:val="00931565"/>
    <w:rsid w:val="00932FF1"/>
    <w:rsid w:val="00935A60"/>
    <w:rsid w:val="00936969"/>
    <w:rsid w:val="009369B4"/>
    <w:rsid w:val="009402D4"/>
    <w:rsid w:val="009404BD"/>
    <w:rsid w:val="009409F6"/>
    <w:rsid w:val="0094347E"/>
    <w:rsid w:val="00947711"/>
    <w:rsid w:val="00956901"/>
    <w:rsid w:val="00967AA6"/>
    <w:rsid w:val="00967B5D"/>
    <w:rsid w:val="00977A94"/>
    <w:rsid w:val="00980C07"/>
    <w:rsid w:val="00993D39"/>
    <w:rsid w:val="00995B9F"/>
    <w:rsid w:val="009968FD"/>
    <w:rsid w:val="0099697B"/>
    <w:rsid w:val="009A0DC7"/>
    <w:rsid w:val="009A393F"/>
    <w:rsid w:val="009B38A5"/>
    <w:rsid w:val="009B54C8"/>
    <w:rsid w:val="009C03F7"/>
    <w:rsid w:val="009C16B0"/>
    <w:rsid w:val="009C36F6"/>
    <w:rsid w:val="009D10EF"/>
    <w:rsid w:val="009D3260"/>
    <w:rsid w:val="009D4DE2"/>
    <w:rsid w:val="009E363E"/>
    <w:rsid w:val="009E4436"/>
    <w:rsid w:val="009E62F2"/>
    <w:rsid w:val="009E67AA"/>
    <w:rsid w:val="00A00372"/>
    <w:rsid w:val="00A00878"/>
    <w:rsid w:val="00A22460"/>
    <w:rsid w:val="00A253C4"/>
    <w:rsid w:val="00A2542F"/>
    <w:rsid w:val="00A25890"/>
    <w:rsid w:val="00A3090D"/>
    <w:rsid w:val="00A32154"/>
    <w:rsid w:val="00A533B2"/>
    <w:rsid w:val="00A53BD0"/>
    <w:rsid w:val="00A610E7"/>
    <w:rsid w:val="00A66B74"/>
    <w:rsid w:val="00A66BD5"/>
    <w:rsid w:val="00A70056"/>
    <w:rsid w:val="00A8051A"/>
    <w:rsid w:val="00A81CBF"/>
    <w:rsid w:val="00A87B22"/>
    <w:rsid w:val="00A87F95"/>
    <w:rsid w:val="00A91269"/>
    <w:rsid w:val="00A9563B"/>
    <w:rsid w:val="00A959EB"/>
    <w:rsid w:val="00AA28A2"/>
    <w:rsid w:val="00AB00FC"/>
    <w:rsid w:val="00AB11EC"/>
    <w:rsid w:val="00AB1E11"/>
    <w:rsid w:val="00AB2EF7"/>
    <w:rsid w:val="00AB465D"/>
    <w:rsid w:val="00AB7D18"/>
    <w:rsid w:val="00AC252C"/>
    <w:rsid w:val="00AC3029"/>
    <w:rsid w:val="00AC308E"/>
    <w:rsid w:val="00AC3FB6"/>
    <w:rsid w:val="00AC5E37"/>
    <w:rsid w:val="00AD0A7C"/>
    <w:rsid w:val="00AD41F2"/>
    <w:rsid w:val="00AD6E4E"/>
    <w:rsid w:val="00AD714A"/>
    <w:rsid w:val="00AE0EDA"/>
    <w:rsid w:val="00AE14CD"/>
    <w:rsid w:val="00AF2EFA"/>
    <w:rsid w:val="00B002B1"/>
    <w:rsid w:val="00B01F64"/>
    <w:rsid w:val="00B062DF"/>
    <w:rsid w:val="00B1120E"/>
    <w:rsid w:val="00B130A9"/>
    <w:rsid w:val="00B17EA4"/>
    <w:rsid w:val="00B21DE7"/>
    <w:rsid w:val="00B21E01"/>
    <w:rsid w:val="00B22851"/>
    <w:rsid w:val="00B24CA9"/>
    <w:rsid w:val="00B33106"/>
    <w:rsid w:val="00B35A18"/>
    <w:rsid w:val="00B37DE5"/>
    <w:rsid w:val="00B40431"/>
    <w:rsid w:val="00B40E3F"/>
    <w:rsid w:val="00B431CF"/>
    <w:rsid w:val="00B4551B"/>
    <w:rsid w:val="00B46BD7"/>
    <w:rsid w:val="00B5517B"/>
    <w:rsid w:val="00B57867"/>
    <w:rsid w:val="00B60BE5"/>
    <w:rsid w:val="00B61FFD"/>
    <w:rsid w:val="00B66C9D"/>
    <w:rsid w:val="00B7031E"/>
    <w:rsid w:val="00B71402"/>
    <w:rsid w:val="00B72B6E"/>
    <w:rsid w:val="00B73F06"/>
    <w:rsid w:val="00B7472B"/>
    <w:rsid w:val="00B76BBE"/>
    <w:rsid w:val="00B81023"/>
    <w:rsid w:val="00B82392"/>
    <w:rsid w:val="00B82CA0"/>
    <w:rsid w:val="00B86068"/>
    <w:rsid w:val="00B96758"/>
    <w:rsid w:val="00B97ADD"/>
    <w:rsid w:val="00BA7036"/>
    <w:rsid w:val="00BB4156"/>
    <w:rsid w:val="00BC153A"/>
    <w:rsid w:val="00BC1702"/>
    <w:rsid w:val="00BC63F8"/>
    <w:rsid w:val="00BC6DBD"/>
    <w:rsid w:val="00BD0185"/>
    <w:rsid w:val="00BD2E52"/>
    <w:rsid w:val="00BD5A30"/>
    <w:rsid w:val="00BE0771"/>
    <w:rsid w:val="00BF1CCD"/>
    <w:rsid w:val="00BF24F9"/>
    <w:rsid w:val="00C0037F"/>
    <w:rsid w:val="00C017EC"/>
    <w:rsid w:val="00C04F8B"/>
    <w:rsid w:val="00C11AFC"/>
    <w:rsid w:val="00C1231B"/>
    <w:rsid w:val="00C15EB5"/>
    <w:rsid w:val="00C26805"/>
    <w:rsid w:val="00C26C94"/>
    <w:rsid w:val="00C275EE"/>
    <w:rsid w:val="00C3037D"/>
    <w:rsid w:val="00C32786"/>
    <w:rsid w:val="00C3535B"/>
    <w:rsid w:val="00C35BA0"/>
    <w:rsid w:val="00C37C5E"/>
    <w:rsid w:val="00C41444"/>
    <w:rsid w:val="00C448E0"/>
    <w:rsid w:val="00C44E62"/>
    <w:rsid w:val="00C5143F"/>
    <w:rsid w:val="00C51C57"/>
    <w:rsid w:val="00C533C9"/>
    <w:rsid w:val="00C577F8"/>
    <w:rsid w:val="00C6125A"/>
    <w:rsid w:val="00C63132"/>
    <w:rsid w:val="00C63947"/>
    <w:rsid w:val="00C66A20"/>
    <w:rsid w:val="00C67E29"/>
    <w:rsid w:val="00C7299B"/>
    <w:rsid w:val="00C7702F"/>
    <w:rsid w:val="00C77A83"/>
    <w:rsid w:val="00C84F5C"/>
    <w:rsid w:val="00C865DF"/>
    <w:rsid w:val="00C8669D"/>
    <w:rsid w:val="00C86C80"/>
    <w:rsid w:val="00C94EC4"/>
    <w:rsid w:val="00C96B0E"/>
    <w:rsid w:val="00CA1632"/>
    <w:rsid w:val="00CA20B9"/>
    <w:rsid w:val="00CA4435"/>
    <w:rsid w:val="00CA460A"/>
    <w:rsid w:val="00CA7B79"/>
    <w:rsid w:val="00CB002D"/>
    <w:rsid w:val="00CB0DB7"/>
    <w:rsid w:val="00CB5D7E"/>
    <w:rsid w:val="00CB6B21"/>
    <w:rsid w:val="00CB7F57"/>
    <w:rsid w:val="00CC2E50"/>
    <w:rsid w:val="00CC306E"/>
    <w:rsid w:val="00CC42F3"/>
    <w:rsid w:val="00CC7EFD"/>
    <w:rsid w:val="00CD0A15"/>
    <w:rsid w:val="00CD4CE6"/>
    <w:rsid w:val="00CD4F10"/>
    <w:rsid w:val="00CD52D5"/>
    <w:rsid w:val="00CD76FA"/>
    <w:rsid w:val="00CE1408"/>
    <w:rsid w:val="00CE1563"/>
    <w:rsid w:val="00CE15DE"/>
    <w:rsid w:val="00CF1E67"/>
    <w:rsid w:val="00CF545C"/>
    <w:rsid w:val="00CF742B"/>
    <w:rsid w:val="00D02CDE"/>
    <w:rsid w:val="00D03DB5"/>
    <w:rsid w:val="00D0447F"/>
    <w:rsid w:val="00D12ACD"/>
    <w:rsid w:val="00D16612"/>
    <w:rsid w:val="00D16986"/>
    <w:rsid w:val="00D21A94"/>
    <w:rsid w:val="00D227AC"/>
    <w:rsid w:val="00D34F28"/>
    <w:rsid w:val="00D3505C"/>
    <w:rsid w:val="00D42928"/>
    <w:rsid w:val="00D42A33"/>
    <w:rsid w:val="00D55BC7"/>
    <w:rsid w:val="00D55C6F"/>
    <w:rsid w:val="00D57ACB"/>
    <w:rsid w:val="00D57D15"/>
    <w:rsid w:val="00D62794"/>
    <w:rsid w:val="00D63D3E"/>
    <w:rsid w:val="00D678AA"/>
    <w:rsid w:val="00D72BFC"/>
    <w:rsid w:val="00D73546"/>
    <w:rsid w:val="00D75326"/>
    <w:rsid w:val="00D81F4B"/>
    <w:rsid w:val="00D83037"/>
    <w:rsid w:val="00D935DB"/>
    <w:rsid w:val="00D96A04"/>
    <w:rsid w:val="00DA2C2F"/>
    <w:rsid w:val="00DA2D24"/>
    <w:rsid w:val="00DA6961"/>
    <w:rsid w:val="00DB2B55"/>
    <w:rsid w:val="00DB46BC"/>
    <w:rsid w:val="00DB4B30"/>
    <w:rsid w:val="00DC1119"/>
    <w:rsid w:val="00DD0CBD"/>
    <w:rsid w:val="00DD1892"/>
    <w:rsid w:val="00DD2882"/>
    <w:rsid w:val="00DD7B61"/>
    <w:rsid w:val="00DE4EC9"/>
    <w:rsid w:val="00DE5BBD"/>
    <w:rsid w:val="00DE5DF8"/>
    <w:rsid w:val="00DE6287"/>
    <w:rsid w:val="00DE64D6"/>
    <w:rsid w:val="00DE6DAA"/>
    <w:rsid w:val="00DF0836"/>
    <w:rsid w:val="00E0045D"/>
    <w:rsid w:val="00E108B7"/>
    <w:rsid w:val="00E11569"/>
    <w:rsid w:val="00E123C5"/>
    <w:rsid w:val="00E20252"/>
    <w:rsid w:val="00E21486"/>
    <w:rsid w:val="00E23360"/>
    <w:rsid w:val="00E23DD6"/>
    <w:rsid w:val="00E2544B"/>
    <w:rsid w:val="00E333AC"/>
    <w:rsid w:val="00E334FC"/>
    <w:rsid w:val="00E33D6A"/>
    <w:rsid w:val="00E4195B"/>
    <w:rsid w:val="00E42A52"/>
    <w:rsid w:val="00E44B4B"/>
    <w:rsid w:val="00E50A56"/>
    <w:rsid w:val="00E529BD"/>
    <w:rsid w:val="00E53CDE"/>
    <w:rsid w:val="00E53D95"/>
    <w:rsid w:val="00E5571F"/>
    <w:rsid w:val="00E76A93"/>
    <w:rsid w:val="00E82BA7"/>
    <w:rsid w:val="00E876E0"/>
    <w:rsid w:val="00E90E51"/>
    <w:rsid w:val="00E93490"/>
    <w:rsid w:val="00E954A7"/>
    <w:rsid w:val="00E97E11"/>
    <w:rsid w:val="00EA3ADF"/>
    <w:rsid w:val="00EA57C1"/>
    <w:rsid w:val="00EA6E2F"/>
    <w:rsid w:val="00EB42FF"/>
    <w:rsid w:val="00EB4375"/>
    <w:rsid w:val="00EC7487"/>
    <w:rsid w:val="00ED179C"/>
    <w:rsid w:val="00ED1C23"/>
    <w:rsid w:val="00ED529F"/>
    <w:rsid w:val="00EE0A92"/>
    <w:rsid w:val="00EE358D"/>
    <w:rsid w:val="00EE4917"/>
    <w:rsid w:val="00EE7D36"/>
    <w:rsid w:val="00EF19FC"/>
    <w:rsid w:val="00EF509B"/>
    <w:rsid w:val="00EF744F"/>
    <w:rsid w:val="00F00630"/>
    <w:rsid w:val="00F016E9"/>
    <w:rsid w:val="00F02E35"/>
    <w:rsid w:val="00F04494"/>
    <w:rsid w:val="00F05F3A"/>
    <w:rsid w:val="00F074B8"/>
    <w:rsid w:val="00F1113D"/>
    <w:rsid w:val="00F138F4"/>
    <w:rsid w:val="00F17C8E"/>
    <w:rsid w:val="00F22595"/>
    <w:rsid w:val="00F27C59"/>
    <w:rsid w:val="00F321EA"/>
    <w:rsid w:val="00F34D9F"/>
    <w:rsid w:val="00F35B1E"/>
    <w:rsid w:val="00F40343"/>
    <w:rsid w:val="00F407E2"/>
    <w:rsid w:val="00F43DAD"/>
    <w:rsid w:val="00F43F07"/>
    <w:rsid w:val="00F56B18"/>
    <w:rsid w:val="00F6195A"/>
    <w:rsid w:val="00F80567"/>
    <w:rsid w:val="00F8103F"/>
    <w:rsid w:val="00F853AA"/>
    <w:rsid w:val="00F865C2"/>
    <w:rsid w:val="00F97E0D"/>
    <w:rsid w:val="00FA0882"/>
    <w:rsid w:val="00FA207E"/>
    <w:rsid w:val="00FA2888"/>
    <w:rsid w:val="00FA4C07"/>
    <w:rsid w:val="00FA5283"/>
    <w:rsid w:val="00FB184A"/>
    <w:rsid w:val="00FB2EF5"/>
    <w:rsid w:val="00FC7378"/>
    <w:rsid w:val="00FD17D4"/>
    <w:rsid w:val="00FD214A"/>
    <w:rsid w:val="00FD31B1"/>
    <w:rsid w:val="00FD7453"/>
    <w:rsid w:val="00FD7900"/>
    <w:rsid w:val="00FE03A4"/>
    <w:rsid w:val="00FE0FB1"/>
    <w:rsid w:val="00FE12DE"/>
    <w:rsid w:val="00FF0B8E"/>
    <w:rsid w:val="00FF7400"/>
    <w:rsid w:val="024702CC"/>
    <w:rsid w:val="036D28BA"/>
    <w:rsid w:val="0B626EBA"/>
    <w:rsid w:val="0EFF00F7"/>
    <w:rsid w:val="11077D31"/>
    <w:rsid w:val="12290C30"/>
    <w:rsid w:val="13C10F79"/>
    <w:rsid w:val="147B7386"/>
    <w:rsid w:val="1AD676B0"/>
    <w:rsid w:val="1CAB1F40"/>
    <w:rsid w:val="272B6728"/>
    <w:rsid w:val="29E63E7A"/>
    <w:rsid w:val="2C5113C3"/>
    <w:rsid w:val="2FA539B8"/>
    <w:rsid w:val="36840A7D"/>
    <w:rsid w:val="385356CE"/>
    <w:rsid w:val="3A9934B1"/>
    <w:rsid w:val="3E037C4A"/>
    <w:rsid w:val="431271B5"/>
    <w:rsid w:val="452C0760"/>
    <w:rsid w:val="46814E02"/>
    <w:rsid w:val="4FDB0EBE"/>
    <w:rsid w:val="583C1331"/>
    <w:rsid w:val="65E92340"/>
    <w:rsid w:val="67777E73"/>
    <w:rsid w:val="69A26D42"/>
    <w:rsid w:val="6EDB13EF"/>
    <w:rsid w:val="6F221B63"/>
    <w:rsid w:val="7134090F"/>
    <w:rsid w:val="71FA5DFC"/>
    <w:rsid w:val="732E0084"/>
    <w:rsid w:val="74F53273"/>
    <w:rsid w:val="7A0D09CC"/>
    <w:rsid w:val="7F372D5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3"/>
    <w:qFormat/>
    <w:uiPriority w:val="0"/>
    <w:pPr>
      <w:keepNext/>
      <w:jc w:val="center"/>
      <w:outlineLvl w:val="0"/>
    </w:pPr>
    <w:rPr>
      <w:b/>
      <w:bCs/>
      <w:sz w:val="24"/>
      <w:szCs w:val="20"/>
    </w:rPr>
  </w:style>
  <w:style w:type="paragraph" w:styleId="4">
    <w:name w:val="heading 2"/>
    <w:basedOn w:val="1"/>
    <w:next w:val="1"/>
    <w:link w:val="68"/>
    <w:qFormat/>
    <w:uiPriority w:val="0"/>
    <w:pPr>
      <w:keepNext/>
      <w:keepLines/>
      <w:spacing w:line="360" w:lineRule="auto"/>
      <w:outlineLvl w:val="1"/>
    </w:pPr>
    <w:rPr>
      <w:rFonts w:ascii="Arial" w:hAnsi="Arial"/>
      <w:b/>
      <w:bCs/>
      <w:sz w:val="24"/>
      <w:szCs w:val="32"/>
    </w:rPr>
  </w:style>
  <w:style w:type="paragraph" w:styleId="5">
    <w:name w:val="heading 3"/>
    <w:basedOn w:val="1"/>
    <w:next w:val="1"/>
    <w:link w:val="52"/>
    <w:qFormat/>
    <w:uiPriority w:val="0"/>
    <w:pPr>
      <w:keepNext/>
      <w:keepLines/>
      <w:spacing w:before="260" w:after="260" w:line="416" w:lineRule="auto"/>
      <w:outlineLvl w:val="2"/>
    </w:pPr>
    <w:rPr>
      <w:b/>
      <w:bCs/>
      <w:sz w:val="32"/>
      <w:szCs w:val="32"/>
    </w:rPr>
  </w:style>
  <w:style w:type="paragraph" w:styleId="6">
    <w:name w:val="heading 4"/>
    <w:basedOn w:val="1"/>
    <w:next w:val="1"/>
    <w:link w:val="5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0"/>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3"/>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44"/>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0">
    <w:name w:val="heading 8"/>
    <w:basedOn w:val="1"/>
    <w:next w:val="1"/>
    <w:link w:val="54"/>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6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3">
    <w:name w:val="Default Paragraph Font"/>
    <w:unhideWhenUsed/>
    <w:uiPriority w:val="1"/>
  </w:style>
  <w:style w:type="table" w:default="1" w:styleId="38">
    <w:name w:val="Normal Table"/>
    <w:unhideWhenUsed/>
    <w:uiPriority w:val="99"/>
    <w:tblPr>
      <w:tblLayout w:type="fixed"/>
      <w:tblCellMar>
        <w:top w:w="0" w:type="dxa"/>
        <w:left w:w="108" w:type="dxa"/>
        <w:bottom w:w="0" w:type="dxa"/>
        <w:right w:w="108" w:type="dxa"/>
      </w:tblCellMar>
    </w:tblPr>
  </w:style>
  <w:style w:type="paragraph" w:styleId="2">
    <w:name w:val="Body Text 2"/>
    <w:basedOn w:val="1"/>
    <w:link w:val="69"/>
    <w:qFormat/>
    <w:uiPriority w:val="0"/>
    <w:pPr>
      <w:spacing w:after="120" w:line="480" w:lineRule="auto"/>
    </w:pPr>
    <w:rPr>
      <w:szCs w:val="24"/>
    </w:rPr>
  </w:style>
  <w:style w:type="paragraph" w:styleId="12">
    <w:name w:val="annotation subject"/>
    <w:basedOn w:val="13"/>
    <w:next w:val="13"/>
    <w:link w:val="66"/>
    <w:qFormat/>
    <w:uiPriority w:val="0"/>
    <w:rPr>
      <w:b/>
      <w:bCs/>
      <w:szCs w:val="24"/>
    </w:rPr>
  </w:style>
  <w:style w:type="paragraph" w:styleId="13">
    <w:name w:val="annotation text"/>
    <w:basedOn w:val="1"/>
    <w:link w:val="67"/>
    <w:semiHidden/>
    <w:qFormat/>
    <w:uiPriority w:val="0"/>
    <w:pPr>
      <w:jc w:val="left"/>
    </w:pPr>
  </w:style>
  <w:style w:type="paragraph" w:styleId="14">
    <w:name w:val="Normal Indent"/>
    <w:basedOn w:val="1"/>
    <w:uiPriority w:val="0"/>
    <w:pPr>
      <w:autoSpaceDE w:val="0"/>
      <w:autoSpaceDN w:val="0"/>
      <w:adjustRightInd w:val="0"/>
      <w:ind w:firstLine="420" w:firstLineChars="200"/>
      <w:jc w:val="left"/>
    </w:pPr>
    <w:rPr>
      <w:rFonts w:ascii="宋体"/>
      <w:kern w:val="0"/>
      <w:sz w:val="20"/>
      <w:szCs w:val="20"/>
    </w:rPr>
  </w:style>
  <w:style w:type="paragraph" w:styleId="15">
    <w:name w:val="Document Map"/>
    <w:basedOn w:val="1"/>
    <w:link w:val="49"/>
    <w:qFormat/>
    <w:uiPriority w:val="0"/>
    <w:pPr>
      <w:shd w:val="clear" w:color="auto" w:fill="000080"/>
    </w:pPr>
    <w:rPr>
      <w:szCs w:val="24"/>
    </w:rPr>
  </w:style>
  <w:style w:type="paragraph" w:styleId="16">
    <w:name w:val="Salutation"/>
    <w:basedOn w:val="1"/>
    <w:next w:val="1"/>
    <w:link w:val="60"/>
    <w:qFormat/>
    <w:uiPriority w:val="0"/>
    <w:rPr>
      <w:rFonts w:ascii="仿宋_GB2312" w:eastAsia="仿宋_GB2312"/>
      <w:sz w:val="24"/>
      <w:szCs w:val="24"/>
    </w:rPr>
  </w:style>
  <w:style w:type="paragraph" w:styleId="17">
    <w:name w:val="Body Text 3"/>
    <w:basedOn w:val="1"/>
    <w:link w:val="46"/>
    <w:qFormat/>
    <w:uiPriority w:val="0"/>
    <w:pPr>
      <w:autoSpaceDE w:val="0"/>
      <w:autoSpaceDN w:val="0"/>
      <w:adjustRightInd w:val="0"/>
      <w:spacing w:line="410" w:lineRule="atLeast"/>
      <w:jc w:val="left"/>
    </w:pPr>
    <w:rPr>
      <w:rFonts w:ascii="宋体"/>
      <w:color w:val="000000"/>
      <w:kern w:val="0"/>
      <w:sz w:val="24"/>
      <w:szCs w:val="20"/>
    </w:rPr>
  </w:style>
  <w:style w:type="paragraph" w:styleId="18">
    <w:name w:val="Body Text"/>
    <w:basedOn w:val="1"/>
    <w:link w:val="64"/>
    <w:qFormat/>
    <w:uiPriority w:val="0"/>
    <w:rPr>
      <w:rFonts w:ascii="宋体" w:hAnsi="宋体"/>
      <w:sz w:val="24"/>
      <w:szCs w:val="20"/>
    </w:rPr>
  </w:style>
  <w:style w:type="paragraph" w:styleId="19">
    <w:name w:val="Body Text Indent"/>
    <w:basedOn w:val="1"/>
    <w:link w:val="55"/>
    <w:qFormat/>
    <w:uiPriority w:val="0"/>
    <w:pPr>
      <w:spacing w:after="120"/>
      <w:ind w:left="420" w:leftChars="200"/>
    </w:pPr>
    <w:rPr>
      <w:szCs w:val="24"/>
    </w:rPr>
  </w:style>
  <w:style w:type="paragraph" w:styleId="20">
    <w:name w:val="toc 3"/>
    <w:basedOn w:val="1"/>
    <w:next w:val="1"/>
    <w:qFormat/>
    <w:uiPriority w:val="39"/>
    <w:pPr>
      <w:ind w:left="840" w:leftChars="400"/>
    </w:pPr>
  </w:style>
  <w:style w:type="paragraph" w:styleId="21">
    <w:name w:val="Plain Text"/>
    <w:basedOn w:val="1"/>
    <w:link w:val="48"/>
    <w:qFormat/>
    <w:uiPriority w:val="0"/>
    <w:rPr>
      <w:rFonts w:ascii="宋体" w:hAnsi="Courier New" w:cs="Courier New"/>
      <w:szCs w:val="21"/>
    </w:rPr>
  </w:style>
  <w:style w:type="paragraph" w:styleId="22">
    <w:name w:val="Date"/>
    <w:basedOn w:val="1"/>
    <w:next w:val="1"/>
    <w:link w:val="59"/>
    <w:qFormat/>
    <w:uiPriority w:val="0"/>
    <w:rPr>
      <w:sz w:val="24"/>
      <w:szCs w:val="20"/>
    </w:rPr>
  </w:style>
  <w:style w:type="paragraph" w:styleId="23">
    <w:name w:val="Body Text Indent 2"/>
    <w:basedOn w:val="1"/>
    <w:link w:val="65"/>
    <w:qFormat/>
    <w:uiPriority w:val="0"/>
    <w:pPr>
      <w:spacing w:after="120" w:line="480" w:lineRule="auto"/>
      <w:ind w:left="420" w:leftChars="200"/>
    </w:pPr>
    <w:rPr>
      <w:szCs w:val="24"/>
    </w:rPr>
  </w:style>
  <w:style w:type="paragraph" w:styleId="24">
    <w:name w:val="Balloon Text"/>
    <w:basedOn w:val="1"/>
    <w:link w:val="42"/>
    <w:qFormat/>
    <w:uiPriority w:val="0"/>
    <w:rPr>
      <w:sz w:val="18"/>
      <w:szCs w:val="18"/>
    </w:rPr>
  </w:style>
  <w:style w:type="paragraph" w:styleId="25">
    <w:name w:val="footer"/>
    <w:basedOn w:val="1"/>
    <w:link w:val="70"/>
    <w:unhideWhenUsed/>
    <w:qFormat/>
    <w:uiPriority w:val="0"/>
    <w:pPr>
      <w:tabs>
        <w:tab w:val="center" w:pos="4153"/>
        <w:tab w:val="right" w:pos="8306"/>
      </w:tabs>
      <w:snapToGrid w:val="0"/>
      <w:jc w:val="left"/>
    </w:pPr>
    <w:rPr>
      <w:sz w:val="18"/>
      <w:szCs w:val="18"/>
    </w:rPr>
  </w:style>
  <w:style w:type="paragraph" w:styleId="26">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uiPriority w:val="39"/>
  </w:style>
  <w:style w:type="paragraph" w:styleId="28">
    <w:name w:val="Body Text Indent 3"/>
    <w:basedOn w:val="1"/>
    <w:link w:val="51"/>
    <w:qFormat/>
    <w:uiPriority w:val="0"/>
    <w:pPr>
      <w:spacing w:after="120"/>
      <w:ind w:left="420" w:leftChars="200"/>
    </w:pPr>
    <w:rPr>
      <w:sz w:val="16"/>
      <w:szCs w:val="16"/>
    </w:rPr>
  </w:style>
  <w:style w:type="paragraph" w:styleId="29">
    <w:name w:val="toc 2"/>
    <w:basedOn w:val="1"/>
    <w:next w:val="1"/>
    <w:qFormat/>
    <w:uiPriority w:val="39"/>
    <w:pPr>
      <w:ind w:left="420" w:leftChars="200"/>
    </w:pPr>
  </w:style>
  <w:style w:type="paragraph" w:styleId="30">
    <w:name w:val="HTML Preformatted"/>
    <w:basedOn w:val="1"/>
    <w:link w:val="4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2">
    <w:name w:val="Title"/>
    <w:basedOn w:val="1"/>
    <w:next w:val="1"/>
    <w:link w:val="47"/>
    <w:qFormat/>
    <w:uiPriority w:val="0"/>
    <w:pPr>
      <w:spacing w:before="240" w:after="60"/>
      <w:jc w:val="center"/>
      <w:outlineLvl w:val="0"/>
    </w:pPr>
    <w:rPr>
      <w:rFonts w:ascii="Cambria" w:hAnsi="Cambria"/>
      <w:b/>
      <w:sz w:val="32"/>
      <w:szCs w:val="24"/>
    </w:rPr>
  </w:style>
  <w:style w:type="character" w:styleId="34">
    <w:name w:val="Strong"/>
    <w:qFormat/>
    <w:uiPriority w:val="0"/>
    <w:rPr>
      <w:b/>
      <w:bCs/>
    </w:rPr>
  </w:style>
  <w:style w:type="character" w:styleId="35">
    <w:name w:val="page number"/>
    <w:basedOn w:val="33"/>
    <w:qFormat/>
    <w:uiPriority w:val="0"/>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0">
    <w:name w:val="p0 Char"/>
    <w:link w:val="41"/>
    <w:qFormat/>
    <w:uiPriority w:val="0"/>
    <w:rPr>
      <w:rFonts w:eastAsia="宋体"/>
      <w:sz w:val="21"/>
      <w:szCs w:val="21"/>
      <w:lang w:val="en-US" w:eastAsia="zh-CN" w:bidi="ar-SA"/>
    </w:rPr>
  </w:style>
  <w:style w:type="paragraph" w:customStyle="1" w:styleId="41">
    <w:name w:val="p0"/>
    <w:basedOn w:val="1"/>
    <w:link w:val="40"/>
    <w:qFormat/>
    <w:uiPriority w:val="0"/>
    <w:pPr>
      <w:widowControl/>
    </w:pPr>
    <w:rPr>
      <w:kern w:val="0"/>
      <w:szCs w:val="21"/>
    </w:rPr>
  </w:style>
  <w:style w:type="character" w:customStyle="1" w:styleId="42">
    <w:name w:val="批注框文本 Char"/>
    <w:link w:val="24"/>
    <w:qFormat/>
    <w:uiPriority w:val="0"/>
    <w:rPr>
      <w:rFonts w:eastAsia="宋体"/>
      <w:kern w:val="2"/>
      <w:sz w:val="18"/>
      <w:szCs w:val="18"/>
      <w:lang w:val="en-US" w:eastAsia="zh-CN" w:bidi="ar-SA"/>
    </w:rPr>
  </w:style>
  <w:style w:type="character" w:customStyle="1" w:styleId="43">
    <w:name w:val="页眉 Char"/>
    <w:link w:val="26"/>
    <w:qFormat/>
    <w:uiPriority w:val="0"/>
    <w:rPr>
      <w:kern w:val="2"/>
      <w:sz w:val="18"/>
      <w:szCs w:val="18"/>
      <w:lang w:bidi="ar-SA"/>
    </w:rPr>
  </w:style>
  <w:style w:type="character" w:customStyle="1" w:styleId="44">
    <w:name w:val="标题 7 Char"/>
    <w:link w:val="9"/>
    <w:qFormat/>
    <w:uiPriority w:val="0"/>
    <w:rPr>
      <w:rFonts w:eastAsia="宋体"/>
      <w:b/>
      <w:bCs/>
      <w:sz w:val="24"/>
      <w:szCs w:val="24"/>
      <w:lang w:val="en-US" w:eastAsia="zh-CN" w:bidi="ar-SA"/>
    </w:rPr>
  </w:style>
  <w:style w:type="character" w:customStyle="1" w:styleId="45">
    <w:name w:val="HTML 预设格式 Char"/>
    <w:link w:val="30"/>
    <w:qFormat/>
    <w:uiPriority w:val="0"/>
    <w:rPr>
      <w:rFonts w:ascii="Arial" w:hAnsi="Arial" w:eastAsia="宋体" w:cs="Arial"/>
      <w:sz w:val="24"/>
      <w:szCs w:val="24"/>
      <w:lang w:val="en-US" w:eastAsia="zh-CN" w:bidi="ar-SA"/>
    </w:rPr>
  </w:style>
  <w:style w:type="character" w:customStyle="1" w:styleId="46">
    <w:name w:val="正文文本 3 Char"/>
    <w:link w:val="17"/>
    <w:qFormat/>
    <w:uiPriority w:val="0"/>
    <w:rPr>
      <w:rFonts w:ascii="宋体"/>
      <w:color w:val="000000"/>
      <w:sz w:val="24"/>
      <w:lang w:bidi="ar-SA"/>
    </w:rPr>
  </w:style>
  <w:style w:type="character" w:customStyle="1" w:styleId="47">
    <w:name w:val="标题 Char"/>
    <w:link w:val="32"/>
    <w:qFormat/>
    <w:uiPriority w:val="0"/>
    <w:rPr>
      <w:rFonts w:ascii="Cambria" w:hAnsi="Cambria"/>
      <w:b/>
      <w:kern w:val="2"/>
      <w:sz w:val="32"/>
      <w:szCs w:val="24"/>
      <w:lang w:bidi="ar-SA"/>
    </w:rPr>
  </w:style>
  <w:style w:type="character" w:customStyle="1" w:styleId="48">
    <w:name w:val="纯文本 Char"/>
    <w:link w:val="21"/>
    <w:qFormat/>
    <w:locked/>
    <w:uiPriority w:val="0"/>
    <w:rPr>
      <w:rFonts w:ascii="宋体" w:hAnsi="Courier New" w:eastAsia="宋体" w:cs="Courier New"/>
      <w:kern w:val="2"/>
      <w:sz w:val="21"/>
      <w:szCs w:val="21"/>
      <w:lang w:val="en-US" w:eastAsia="zh-CN" w:bidi="ar-SA"/>
    </w:rPr>
  </w:style>
  <w:style w:type="character" w:customStyle="1" w:styleId="49">
    <w:name w:val="文档结构图 Char"/>
    <w:link w:val="15"/>
    <w:qFormat/>
    <w:uiPriority w:val="0"/>
    <w:rPr>
      <w:rFonts w:eastAsia="宋体"/>
      <w:kern w:val="2"/>
      <w:sz w:val="21"/>
      <w:szCs w:val="24"/>
      <w:lang w:val="en-US" w:eastAsia="zh-CN" w:bidi="ar-SA"/>
    </w:rPr>
  </w:style>
  <w:style w:type="character" w:customStyle="1" w:styleId="50">
    <w:name w:val="标题 5 Char"/>
    <w:link w:val="7"/>
    <w:qFormat/>
    <w:uiPriority w:val="0"/>
    <w:rPr>
      <w:rFonts w:eastAsia="宋体"/>
      <w:b/>
      <w:bCs/>
      <w:sz w:val="28"/>
      <w:szCs w:val="28"/>
      <w:lang w:val="en-US" w:eastAsia="zh-CN" w:bidi="ar-SA"/>
    </w:rPr>
  </w:style>
  <w:style w:type="character" w:customStyle="1" w:styleId="51">
    <w:name w:val="正文文本缩进 3 Char"/>
    <w:link w:val="28"/>
    <w:qFormat/>
    <w:uiPriority w:val="0"/>
    <w:rPr>
      <w:kern w:val="2"/>
      <w:sz w:val="16"/>
      <w:szCs w:val="16"/>
      <w:lang w:bidi="ar-SA"/>
    </w:rPr>
  </w:style>
  <w:style w:type="character" w:customStyle="1" w:styleId="52">
    <w:name w:val="标题 3 Char"/>
    <w:link w:val="5"/>
    <w:qFormat/>
    <w:uiPriority w:val="0"/>
    <w:rPr>
      <w:rFonts w:eastAsia="宋体"/>
      <w:b/>
      <w:bCs/>
      <w:kern w:val="2"/>
      <w:sz w:val="32"/>
      <w:szCs w:val="32"/>
      <w:lang w:val="en-US" w:eastAsia="zh-CN" w:bidi="ar-SA"/>
    </w:rPr>
  </w:style>
  <w:style w:type="character" w:customStyle="1" w:styleId="53">
    <w:name w:val="标题 1 Char"/>
    <w:link w:val="3"/>
    <w:qFormat/>
    <w:uiPriority w:val="0"/>
    <w:rPr>
      <w:rFonts w:eastAsia="宋体"/>
      <w:b/>
      <w:bCs/>
      <w:kern w:val="2"/>
      <w:sz w:val="24"/>
      <w:lang w:val="en-US" w:eastAsia="zh-CN" w:bidi="ar-SA"/>
    </w:rPr>
  </w:style>
  <w:style w:type="character" w:customStyle="1" w:styleId="54">
    <w:name w:val="标题 8 Char"/>
    <w:link w:val="10"/>
    <w:qFormat/>
    <w:uiPriority w:val="0"/>
    <w:rPr>
      <w:rFonts w:ascii="Arial" w:hAnsi="Arial" w:eastAsia="黑体"/>
      <w:sz w:val="24"/>
      <w:szCs w:val="24"/>
      <w:lang w:val="en-US" w:eastAsia="zh-CN" w:bidi="ar-SA"/>
    </w:rPr>
  </w:style>
  <w:style w:type="character" w:customStyle="1" w:styleId="55">
    <w:name w:val="正文文本缩进 Char"/>
    <w:link w:val="19"/>
    <w:qFormat/>
    <w:uiPriority w:val="0"/>
    <w:rPr>
      <w:rFonts w:eastAsia="宋体"/>
      <w:kern w:val="2"/>
      <w:sz w:val="21"/>
      <w:szCs w:val="24"/>
      <w:lang w:val="en-US" w:eastAsia="zh-CN" w:bidi="ar-SA"/>
    </w:rPr>
  </w:style>
  <w:style w:type="character" w:customStyle="1" w:styleId="56">
    <w:name w:val="样式 样式 列表列表 Char1列表 Char Char + 五号 + Arial Char Char"/>
    <w:link w:val="57"/>
    <w:qFormat/>
    <w:uiPriority w:val="0"/>
    <w:rPr>
      <w:rFonts w:ascii="Arial" w:hAnsi="Arial"/>
      <w:sz w:val="21"/>
      <w:szCs w:val="24"/>
    </w:rPr>
  </w:style>
  <w:style w:type="paragraph" w:customStyle="1" w:styleId="57">
    <w:name w:val="样式 样式 列表列表 Char1列表 Char Char + 五号 + Arial"/>
    <w:basedOn w:val="1"/>
    <w:link w:val="56"/>
    <w:qFormat/>
    <w:uiPriority w:val="0"/>
    <w:pPr>
      <w:widowControl/>
      <w:tabs>
        <w:tab w:val="left" w:pos="420"/>
      </w:tabs>
      <w:spacing w:before="100" w:beforeAutospacing="1" w:after="100" w:afterAutospacing="1" w:line="360" w:lineRule="auto"/>
      <w:ind w:left="960" w:hanging="360"/>
      <w:jc w:val="left"/>
    </w:pPr>
    <w:rPr>
      <w:rFonts w:ascii="Arial" w:hAnsi="Arial"/>
      <w:kern w:val="0"/>
      <w:szCs w:val="24"/>
    </w:rPr>
  </w:style>
  <w:style w:type="character" w:customStyle="1" w:styleId="58">
    <w:name w:val="标题 4 Char"/>
    <w:link w:val="6"/>
    <w:qFormat/>
    <w:uiPriority w:val="0"/>
    <w:rPr>
      <w:rFonts w:ascii="Arial" w:hAnsi="Arial" w:eastAsia="黑体"/>
      <w:b/>
      <w:bCs/>
      <w:kern w:val="2"/>
      <w:sz w:val="28"/>
      <w:szCs w:val="28"/>
      <w:lang w:val="en-US" w:eastAsia="zh-CN" w:bidi="ar-SA"/>
    </w:rPr>
  </w:style>
  <w:style w:type="character" w:customStyle="1" w:styleId="59">
    <w:name w:val="日期 Char"/>
    <w:link w:val="22"/>
    <w:qFormat/>
    <w:uiPriority w:val="0"/>
    <w:rPr>
      <w:kern w:val="2"/>
      <w:sz w:val="24"/>
      <w:lang w:bidi="ar-SA"/>
    </w:rPr>
  </w:style>
  <w:style w:type="character" w:customStyle="1" w:styleId="60">
    <w:name w:val="称呼 Char"/>
    <w:link w:val="16"/>
    <w:qFormat/>
    <w:uiPriority w:val="0"/>
    <w:rPr>
      <w:rFonts w:ascii="仿宋_GB2312" w:eastAsia="仿宋_GB2312"/>
      <w:kern w:val="2"/>
      <w:sz w:val="24"/>
      <w:szCs w:val="24"/>
      <w:lang w:val="en-US" w:eastAsia="zh-CN" w:bidi="ar-SA"/>
    </w:rPr>
  </w:style>
  <w:style w:type="character" w:customStyle="1" w:styleId="61">
    <w:name w:val="标题 9 Char"/>
    <w:link w:val="11"/>
    <w:qFormat/>
    <w:uiPriority w:val="0"/>
    <w:rPr>
      <w:rFonts w:ascii="Arial" w:hAnsi="Arial" w:eastAsia="黑体"/>
      <w:sz w:val="21"/>
      <w:szCs w:val="21"/>
      <w:lang w:val="en-US" w:eastAsia="zh-CN" w:bidi="ar-SA"/>
    </w:rPr>
  </w:style>
  <w:style w:type="character" w:customStyle="1" w:styleId="62">
    <w:name w:val="普通文字1 Char"/>
    <w:qFormat/>
    <w:locked/>
    <w:uiPriority w:val="0"/>
    <w:rPr>
      <w:rFonts w:ascii="宋体" w:hAnsi="Courier New" w:eastAsia="宋体" w:cs="Courier New"/>
      <w:kern w:val="2"/>
      <w:sz w:val="21"/>
      <w:szCs w:val="21"/>
      <w:lang w:val="en-US" w:eastAsia="zh-CN" w:bidi="ar-SA"/>
    </w:rPr>
  </w:style>
  <w:style w:type="character" w:customStyle="1" w:styleId="63">
    <w:name w:val="标题 6 Char"/>
    <w:link w:val="8"/>
    <w:qFormat/>
    <w:uiPriority w:val="0"/>
    <w:rPr>
      <w:rFonts w:ascii="Arial" w:hAnsi="Arial" w:eastAsia="黑体"/>
      <w:b/>
      <w:bCs/>
      <w:sz w:val="24"/>
      <w:szCs w:val="24"/>
      <w:lang w:val="en-US" w:eastAsia="zh-CN" w:bidi="ar-SA"/>
    </w:rPr>
  </w:style>
  <w:style w:type="character" w:customStyle="1" w:styleId="64">
    <w:name w:val="正文文本 Char"/>
    <w:link w:val="18"/>
    <w:qFormat/>
    <w:locked/>
    <w:uiPriority w:val="0"/>
    <w:rPr>
      <w:rFonts w:ascii="宋体" w:hAnsi="宋体" w:eastAsia="宋体"/>
      <w:kern w:val="2"/>
      <w:sz w:val="24"/>
      <w:lang w:val="en-US" w:eastAsia="zh-CN" w:bidi="ar-SA"/>
    </w:rPr>
  </w:style>
  <w:style w:type="character" w:customStyle="1" w:styleId="65">
    <w:name w:val="正文文本缩进 2 Char"/>
    <w:link w:val="23"/>
    <w:qFormat/>
    <w:uiPriority w:val="0"/>
    <w:rPr>
      <w:rFonts w:eastAsia="宋体"/>
      <w:kern w:val="2"/>
      <w:sz w:val="21"/>
      <w:szCs w:val="24"/>
      <w:lang w:val="en-US" w:eastAsia="zh-CN" w:bidi="ar-SA"/>
    </w:rPr>
  </w:style>
  <w:style w:type="character" w:customStyle="1" w:styleId="66">
    <w:name w:val="批注主题 Char"/>
    <w:link w:val="12"/>
    <w:qFormat/>
    <w:uiPriority w:val="0"/>
    <w:rPr>
      <w:rFonts w:eastAsia="宋体"/>
      <w:b/>
      <w:bCs/>
      <w:kern w:val="2"/>
      <w:sz w:val="21"/>
      <w:szCs w:val="24"/>
      <w:lang w:val="en-US" w:eastAsia="zh-CN" w:bidi="ar-SA"/>
    </w:rPr>
  </w:style>
  <w:style w:type="character" w:customStyle="1" w:styleId="67">
    <w:name w:val="批注文字 Char"/>
    <w:link w:val="13"/>
    <w:qFormat/>
    <w:uiPriority w:val="0"/>
    <w:rPr>
      <w:rFonts w:ascii="Calibri" w:hAnsi="Calibri" w:eastAsia="宋体"/>
      <w:kern w:val="2"/>
      <w:sz w:val="21"/>
      <w:szCs w:val="22"/>
      <w:lang w:val="en-US" w:eastAsia="zh-CN" w:bidi="ar-SA"/>
    </w:rPr>
  </w:style>
  <w:style w:type="character" w:customStyle="1" w:styleId="68">
    <w:name w:val="标题 2 Char"/>
    <w:link w:val="4"/>
    <w:qFormat/>
    <w:uiPriority w:val="0"/>
    <w:rPr>
      <w:rFonts w:ascii="Arial" w:hAnsi="Arial" w:eastAsia="宋体"/>
      <w:b/>
      <w:bCs/>
      <w:kern w:val="2"/>
      <w:sz w:val="24"/>
      <w:szCs w:val="32"/>
      <w:lang w:val="en-US" w:eastAsia="zh-CN" w:bidi="ar-SA"/>
    </w:rPr>
  </w:style>
  <w:style w:type="character" w:customStyle="1" w:styleId="69">
    <w:name w:val="正文文本 2 Char"/>
    <w:link w:val="2"/>
    <w:qFormat/>
    <w:uiPriority w:val="0"/>
    <w:rPr>
      <w:rFonts w:eastAsia="宋体"/>
      <w:kern w:val="2"/>
      <w:sz w:val="21"/>
      <w:szCs w:val="24"/>
      <w:lang w:val="en-US" w:eastAsia="zh-CN" w:bidi="ar-SA"/>
    </w:rPr>
  </w:style>
  <w:style w:type="character" w:customStyle="1" w:styleId="70">
    <w:name w:val="页脚 Char"/>
    <w:link w:val="25"/>
    <w:qFormat/>
    <w:uiPriority w:val="0"/>
    <w:rPr>
      <w:rFonts w:ascii="Calibri" w:hAnsi="Calibri" w:eastAsia="宋体"/>
      <w:kern w:val="2"/>
      <w:sz w:val="18"/>
      <w:szCs w:val="18"/>
      <w:lang w:val="en-US" w:eastAsia="zh-CN" w:bidi="ar-SA"/>
    </w:rPr>
  </w:style>
  <w:style w:type="paragraph" w:customStyle="1" w:styleId="71">
    <w:name w:val="Char1 Char Char Char Char Char Char Char Char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72">
    <w:name w:val="_Style 6"/>
    <w:basedOn w:val="1"/>
    <w:qFormat/>
    <w:uiPriority w:val="34"/>
    <w:pPr>
      <w:ind w:firstLine="420" w:firstLineChars="200"/>
    </w:pPr>
    <w:rPr>
      <w:rFonts w:ascii="Times New Roman" w:hAnsi="Times New Roman"/>
    </w:rPr>
  </w:style>
  <w:style w:type="paragraph" w:customStyle="1" w:styleId="73">
    <w:name w:val="Char Char1 Char"/>
    <w:basedOn w:val="1"/>
    <w:qFormat/>
    <w:uiPriority w:val="0"/>
    <w:pPr>
      <w:tabs>
        <w:tab w:val="left" w:pos="360"/>
      </w:tabs>
      <w:ind w:left="360" w:hanging="360" w:hangingChars="200"/>
    </w:pPr>
    <w:rPr>
      <w:rFonts w:ascii="Times New Roman" w:hAnsi="Times New Roman"/>
      <w:sz w:val="24"/>
      <w:szCs w:val="24"/>
    </w:rPr>
  </w:style>
  <w:style w:type="paragraph" w:customStyle="1" w:styleId="74">
    <w:name w:val="Char Char Char"/>
    <w:basedOn w:val="1"/>
    <w:qFormat/>
    <w:uiPriority w:val="0"/>
    <w:rPr>
      <w:rFonts w:ascii="Tahoma" w:hAnsi="Tahoma"/>
      <w:sz w:val="24"/>
      <w:szCs w:val="20"/>
    </w:rPr>
  </w:style>
  <w:style w:type="paragraph" w:customStyle="1" w:styleId="75">
    <w:name w:val="_Style 4"/>
    <w:basedOn w:val="1"/>
    <w:qFormat/>
    <w:uiPriority w:val="34"/>
    <w:pPr>
      <w:ind w:firstLine="420" w:firstLineChars="200"/>
    </w:pPr>
  </w:style>
  <w:style w:type="paragraph" w:customStyle="1" w:styleId="76">
    <w:name w:val="空行"/>
    <w:basedOn w:val="1"/>
    <w:next w:val="1"/>
    <w:qFormat/>
    <w:uiPriority w:val="0"/>
    <w:pPr>
      <w:spacing w:beforeLines="100" w:afterLines="100" w:line="360" w:lineRule="auto"/>
      <w:jc w:val="center"/>
    </w:pPr>
    <w:rPr>
      <w:rFonts w:ascii="Times New Roman" w:hAnsi="Times New Roman"/>
      <w:spacing w:val="20"/>
      <w:sz w:val="24"/>
      <w:szCs w:val="20"/>
    </w:rPr>
  </w:style>
  <w:style w:type="paragraph" w:customStyle="1" w:styleId="77">
    <w:name w:val="列出段落1"/>
    <w:basedOn w:val="1"/>
    <w:qFormat/>
    <w:uiPriority w:val="99"/>
    <w:pPr>
      <w:widowControl/>
      <w:overflowPunct w:val="0"/>
      <w:autoSpaceDE w:val="0"/>
      <w:autoSpaceDN w:val="0"/>
      <w:adjustRightInd w:val="0"/>
      <w:ind w:firstLine="420" w:firstLineChars="200"/>
      <w:textAlignment w:val="baseline"/>
    </w:pPr>
    <w:rPr>
      <w:rFonts w:ascii="Times New Roman" w:hAnsi="Times New Roman"/>
      <w:kern w:val="0"/>
      <w:szCs w:val="20"/>
    </w:rPr>
  </w:style>
  <w:style w:type="paragraph" w:customStyle="1" w:styleId="78">
    <w:name w:val="_Style 3"/>
    <w:basedOn w:val="3"/>
    <w:next w:val="1"/>
    <w:unhideWhenUsed/>
    <w:qFormat/>
    <w:uiPriority w:val="39"/>
    <w:pPr>
      <w:keepLines/>
      <w:widowControl/>
      <w:spacing w:before="480" w:line="276" w:lineRule="auto"/>
      <w:ind w:firstLine="200" w:firstLineChars="200"/>
      <w:jc w:val="left"/>
      <w:outlineLvl w:val="9"/>
    </w:pPr>
    <w:rPr>
      <w:rFonts w:ascii="Cambria" w:hAnsi="Cambria"/>
      <w:color w:val="365F91"/>
      <w:kern w:val="0"/>
      <w:sz w:val="28"/>
      <w:szCs w:val="28"/>
    </w:rPr>
  </w:style>
  <w:style w:type="paragraph" w:customStyle="1" w:styleId="79">
    <w:name w:val="彩色列表 - 强调文字颜色 11"/>
    <w:basedOn w:val="1"/>
    <w:uiPriority w:val="0"/>
    <w:pPr>
      <w:ind w:firstLine="420" w:firstLineChars="200"/>
    </w:pPr>
    <w:rPr>
      <w:rFonts w:cs="Calibri"/>
      <w:szCs w:val="21"/>
    </w:rPr>
  </w:style>
  <w:style w:type="paragraph" w:customStyle="1" w:styleId="80">
    <w:name w:val="pa-0"/>
    <w:basedOn w:val="1"/>
    <w:qFormat/>
    <w:uiPriority w:val="0"/>
    <w:pPr>
      <w:widowControl/>
      <w:spacing w:before="100" w:beforeAutospacing="1" w:after="100" w:afterAutospacing="1"/>
      <w:ind w:firstLine="560" w:firstLineChars="200"/>
      <w:jc w:val="left"/>
    </w:pPr>
    <w:rPr>
      <w:rFonts w:ascii="宋体" w:hAnsi="宋体" w:cs="宋体"/>
      <w:kern w:val="0"/>
      <w:sz w:val="24"/>
      <w:szCs w:val="24"/>
    </w:rPr>
  </w:style>
  <w:style w:type="character" w:customStyle="1" w:styleId="81">
    <w:name w:val="15"/>
    <w:basedOn w:val="33"/>
    <w:qFormat/>
    <w:uiPriority w:val="0"/>
    <w:rPr>
      <w:rFonts w:hint="default" w:ascii="Calibri" w:hAnsi="Calibri" w:cs="Calibri"/>
      <w:color w:val="0000FF"/>
      <w:u w:val="single"/>
    </w:rPr>
  </w:style>
  <w:style w:type="character" w:customStyle="1" w:styleId="82">
    <w:name w:val="16"/>
    <w:basedOn w:val="33"/>
    <w:qFormat/>
    <w:uiPriority w:val="0"/>
    <w:rPr>
      <w:rFonts w:hint="default" w:ascii="Calibri" w:hAnsi="Calibri" w:cs="Calibri"/>
    </w:rPr>
  </w:style>
  <w:style w:type="paragraph" w:customStyle="1" w:styleId="83">
    <w:name w:val="样式 正文缩进 + 首行缩进:  2.56 字符 段前: 0.6 行 段后: 0.6 行"/>
    <w:basedOn w:val="14"/>
    <w:qFormat/>
    <w:uiPriority w:val="0"/>
    <w:pPr>
      <w:adjustRightInd w:val="0"/>
      <w:spacing w:beforeLines="60" w:afterLines="60" w:line="300" w:lineRule="auto"/>
      <w:ind w:firstLine="0" w:firstLineChars="0"/>
      <w:textAlignment w:val="baseline"/>
    </w:pPr>
    <w:rPr>
      <w:rFonts w:ascii="微软简仿宋" w:hAnsi="宋体" w:eastAsia="楷体_GB2312" w:cs="宋体"/>
      <w:snapToGrid w:val="0"/>
      <w:sz w:val="20"/>
      <w:szCs w:val="20"/>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174</Words>
  <Characters>996</Characters>
  <Lines>8</Lines>
  <Paragraphs>2</Paragraphs>
  <ScaleCrop>false</ScaleCrop>
  <LinksUpToDate>false</LinksUpToDate>
  <CharactersWithSpaces>1168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2018-06-07T00:49:00Z</dcterms:created>
  <dc:creator>qh</dc:creator>
  <cp:lastModifiedBy>cqcb</cp:lastModifiedBy>
  <cp:lastPrinted>2020-11-11T10:14:00Z</cp:lastPrinted>
  <dcterms:modified xsi:type="dcterms:W3CDTF">2023-11-27T08:04:24Z</dcterms:modified>
  <dc:title>竞争性磋商文件</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