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ascii="方正仿宋_GBK" w:eastAsia="方正仿宋_GBK"/>
          <w:sz w:val="32"/>
        </w:rPr>
      </w:pPr>
      <w:r>
        <w:rPr>
          <w:rFonts w:ascii="方正小标宋_GBK" w:hAnsi="黑体" w:eastAsia="方正小标宋_GBK"/>
          <w:sz w:val="44"/>
        </w:rPr>
        <w:t>重庆银行</w:t>
      </w:r>
      <w:r>
        <w:rPr>
          <w:rFonts w:hint="eastAsia" w:ascii="方正小标宋_GBK" w:hAnsi="黑体" w:eastAsia="方正小标宋_GBK"/>
          <w:sz w:val="44"/>
        </w:rPr>
        <w:t>现金保险</w:t>
      </w:r>
      <w:r>
        <w:rPr>
          <w:rFonts w:ascii="方正小标宋_GBK" w:hAnsi="黑体" w:eastAsia="方正小标宋_GBK"/>
          <w:sz w:val="44"/>
        </w:rPr>
        <w:t>项目分散采购文件</w:t>
      </w:r>
    </w:p>
    <w:p>
      <w:pPr>
        <w:widowControl/>
        <w:jc w:val="left"/>
        <w:rPr>
          <w:rFonts w:ascii="方正仿宋_GBK" w:eastAsia="方正仿宋_GBK"/>
          <w:sz w:val="32"/>
        </w:rPr>
      </w:pPr>
    </w:p>
    <w:p>
      <w:pPr>
        <w:widowControl/>
        <w:spacing w:line="520" w:lineRule="exact"/>
        <w:ind w:firstLine="672"/>
        <w:jc w:val="left"/>
        <w:rPr>
          <w:rFonts w:ascii="方正仿宋_GBK" w:hAnsi="仿宋_GB2312" w:eastAsia="方正仿宋_GBK"/>
          <w:sz w:val="32"/>
        </w:rPr>
      </w:pPr>
      <w:r>
        <w:rPr>
          <w:rFonts w:ascii="方正仿宋_GBK" w:hAnsi="仿宋_GB2312" w:eastAsia="方正仿宋_GBK"/>
          <w:sz w:val="32"/>
        </w:rPr>
        <w:t>现就“</w:t>
      </w:r>
      <w:r>
        <w:rPr>
          <w:rFonts w:hint="eastAsia" w:ascii="方正仿宋_GBK" w:hAnsi="仿宋_GB2312" w:eastAsia="方正仿宋_GBK"/>
          <w:b/>
          <w:sz w:val="32"/>
        </w:rPr>
        <w:t>重庆银行现金保险</w:t>
      </w:r>
      <w:r>
        <w:rPr>
          <w:rFonts w:ascii="方正仿宋_GBK" w:hAnsi="仿宋_GB2312" w:eastAsia="方正仿宋_GBK"/>
          <w:sz w:val="32"/>
        </w:rPr>
        <w:t>”采购项目</w:t>
      </w:r>
      <w:r>
        <w:rPr>
          <w:rFonts w:hint="eastAsia" w:ascii="方正仿宋_GBK" w:hAnsi="仿宋_GB2312" w:eastAsia="方正仿宋_GBK"/>
          <w:sz w:val="32"/>
        </w:rPr>
        <w:t>供应商</w:t>
      </w:r>
      <w:r>
        <w:rPr>
          <w:rFonts w:ascii="方正仿宋_GBK" w:hAnsi="仿宋_GB2312" w:eastAsia="方正仿宋_GBK"/>
          <w:sz w:val="32"/>
        </w:rPr>
        <w:t>进行</w:t>
      </w:r>
      <w:r>
        <w:rPr>
          <w:rFonts w:hint="eastAsia" w:ascii="方正仿宋_GBK" w:hAnsi="仿宋_GB2312" w:eastAsia="方正仿宋_GBK"/>
          <w:sz w:val="32"/>
        </w:rPr>
        <w:t>公开征选，</w:t>
      </w:r>
      <w:r>
        <w:rPr>
          <w:rFonts w:ascii="方正仿宋_GBK" w:hAnsi="仿宋_GB2312" w:eastAsia="方正仿宋_GBK"/>
          <w:sz w:val="32"/>
        </w:rPr>
        <w:t>现将相关事项通知如下：</w:t>
      </w:r>
    </w:p>
    <w:p>
      <w:pPr>
        <w:widowControl/>
        <w:spacing w:line="520" w:lineRule="exact"/>
        <w:ind w:firstLine="672"/>
        <w:jc w:val="left"/>
        <w:rPr>
          <w:rFonts w:ascii="方正仿宋_GBK" w:hAnsi="仿宋_GB2312" w:eastAsia="方正仿宋_GBK"/>
          <w:sz w:val="32"/>
        </w:rPr>
      </w:pPr>
      <w:r>
        <w:rPr>
          <w:rFonts w:hint="eastAsia" w:ascii="方正仿宋_GBK" w:hAnsi="仿宋_GB2312" w:eastAsia="方正仿宋_GBK"/>
          <w:sz w:val="32"/>
        </w:rPr>
        <w:t>一、本采购项目最高限价为人民币</w:t>
      </w:r>
      <w:r>
        <w:rPr>
          <w:rFonts w:hint="eastAsia" w:ascii="方正仿宋_GBK" w:hAnsi="仿宋_GB2312" w:eastAsia="方正仿宋_GBK"/>
          <w:sz w:val="32"/>
          <w:lang w:val="en-US" w:eastAsia="zh-CN"/>
        </w:rPr>
        <w:t>15</w:t>
      </w:r>
      <w:r>
        <w:rPr>
          <w:rFonts w:hint="eastAsia" w:ascii="方正仿宋_GBK" w:hAnsi="仿宋_GB2312" w:eastAsia="方正仿宋_GBK"/>
          <w:sz w:val="32"/>
        </w:rPr>
        <w:t>万元，采用竞争性谈判方式，评审办法为最低价法。</w:t>
      </w:r>
    </w:p>
    <w:p>
      <w:pPr>
        <w:widowControl/>
        <w:spacing w:line="520" w:lineRule="exact"/>
        <w:ind w:firstLine="672"/>
        <w:jc w:val="left"/>
        <w:rPr>
          <w:rFonts w:ascii="方正仿宋_GBK" w:hAnsi="Times New Roman" w:eastAsia="方正仿宋_GBK"/>
          <w:sz w:val="32"/>
        </w:rPr>
      </w:pPr>
      <w:r>
        <w:rPr>
          <w:rFonts w:hint="eastAsia" w:ascii="方正仿宋_GBK" w:hAnsi="仿宋_GB2312" w:eastAsia="方正仿宋_GBK"/>
          <w:sz w:val="32"/>
        </w:rPr>
        <w:t>二</w:t>
      </w:r>
      <w:r>
        <w:rPr>
          <w:rFonts w:ascii="方正仿宋_GBK" w:hAnsi="仿宋_GB2312" w:eastAsia="方正仿宋_GBK"/>
          <w:sz w:val="32"/>
        </w:rPr>
        <w:t>、报价为全包价（含税费、</w:t>
      </w:r>
      <w:r>
        <w:rPr>
          <w:rFonts w:ascii="方正仿宋_GBK" w:hAnsi="Times New Roman" w:eastAsia="方正仿宋_GBK"/>
          <w:sz w:val="32"/>
        </w:rPr>
        <w:t>差旅费等）</w:t>
      </w:r>
      <w:r>
        <w:rPr>
          <w:rFonts w:hint="eastAsia" w:ascii="方正仿宋_GBK" w:hAnsi="Times New Roman" w:eastAsia="方正仿宋_GBK"/>
          <w:sz w:val="32"/>
        </w:rPr>
        <w:t>，可按二次报价的规定执行</w:t>
      </w:r>
      <w:r>
        <w:rPr>
          <w:rFonts w:ascii="方正仿宋_GBK" w:hAnsi="Times New Roman" w:eastAsia="方正仿宋_GBK"/>
          <w:sz w:val="32"/>
        </w:rPr>
        <w:t>。</w:t>
      </w:r>
    </w:p>
    <w:p>
      <w:pPr>
        <w:widowControl/>
        <w:spacing w:line="520" w:lineRule="exact"/>
        <w:ind w:firstLine="672"/>
        <w:jc w:val="left"/>
        <w:rPr>
          <w:rFonts w:ascii="方正仿宋_GBK" w:hAnsi="Times New Roman" w:eastAsia="方正仿宋_GBK"/>
          <w:sz w:val="32"/>
        </w:rPr>
      </w:pPr>
      <w:r>
        <w:rPr>
          <w:rFonts w:hint="eastAsia" w:ascii="方正仿宋_GBK" w:hAnsi="Times New Roman" w:eastAsia="方正仿宋_GBK"/>
          <w:sz w:val="32"/>
        </w:rPr>
        <w:t>三</w:t>
      </w:r>
      <w:r>
        <w:rPr>
          <w:rFonts w:ascii="方正仿宋_GBK" w:hAnsi="Times New Roman" w:eastAsia="方正仿宋_GBK"/>
          <w:sz w:val="32"/>
        </w:rPr>
        <w:t>、受邀请对项目报价，两次不参与项目报价的，我</w:t>
      </w:r>
      <w:r>
        <w:rPr>
          <w:rFonts w:hint="eastAsia" w:ascii="方正仿宋_GBK" w:hAnsi="Times New Roman" w:eastAsia="方正仿宋_GBK"/>
          <w:sz w:val="32"/>
        </w:rPr>
        <w:t>行</w:t>
      </w:r>
      <w:r>
        <w:rPr>
          <w:rFonts w:ascii="方正仿宋_GBK" w:hAnsi="Times New Roman" w:eastAsia="方正仿宋_GBK"/>
          <w:sz w:val="32"/>
        </w:rPr>
        <w:t>将取消其供应商资格。</w:t>
      </w:r>
    </w:p>
    <w:p>
      <w:pPr>
        <w:widowControl/>
        <w:spacing w:line="520" w:lineRule="exact"/>
        <w:ind w:firstLine="672"/>
        <w:jc w:val="left"/>
        <w:rPr>
          <w:rFonts w:ascii="方正仿宋_GBK" w:hAnsi="Times New Roman" w:eastAsia="方正仿宋_GBK"/>
          <w:sz w:val="32"/>
        </w:rPr>
      </w:pPr>
      <w:r>
        <w:rPr>
          <w:rFonts w:hint="eastAsia" w:ascii="方正仿宋_GBK" w:hAnsi="Times New Roman" w:eastAsia="方正仿宋_GBK"/>
          <w:sz w:val="32"/>
        </w:rPr>
        <w:t>四</w:t>
      </w:r>
      <w:r>
        <w:rPr>
          <w:rFonts w:ascii="方正仿宋_GBK" w:hAnsi="Times New Roman" w:eastAsia="方正仿宋_GBK"/>
          <w:sz w:val="32"/>
        </w:rPr>
        <w:t>、请于</w:t>
      </w:r>
      <w:r>
        <w:rPr>
          <w:rFonts w:hint="eastAsia" w:ascii="方正仿宋_GBK" w:hAnsi="Times New Roman" w:eastAsia="方正仿宋_GBK"/>
          <w:sz w:val="32"/>
        </w:rPr>
        <w:t>202</w:t>
      </w:r>
      <w:r>
        <w:rPr>
          <w:rFonts w:hint="eastAsia" w:ascii="方正仿宋_GBK" w:hAnsi="Times New Roman" w:eastAsia="方正仿宋_GBK"/>
          <w:sz w:val="32"/>
          <w:lang w:val="en-US" w:eastAsia="zh-CN"/>
        </w:rPr>
        <w:t>3</w:t>
      </w:r>
      <w:r>
        <w:rPr>
          <w:rFonts w:ascii="方正仿宋_GBK" w:hAnsi="Times New Roman" w:eastAsia="方正仿宋_GBK"/>
          <w:sz w:val="32"/>
        </w:rPr>
        <w:t>年</w:t>
      </w:r>
      <w:r>
        <w:rPr>
          <w:rFonts w:hint="eastAsia" w:ascii="方正仿宋_GBK" w:hAnsi="Times New Roman" w:eastAsia="方正仿宋_GBK"/>
          <w:sz w:val="32"/>
        </w:rPr>
        <w:t>1</w:t>
      </w:r>
      <w:r>
        <w:rPr>
          <w:rFonts w:hint="eastAsia" w:ascii="方正仿宋_GBK" w:hAnsi="Times New Roman" w:eastAsia="方正仿宋_GBK"/>
          <w:sz w:val="32"/>
          <w:lang w:val="en-US" w:eastAsia="zh-CN"/>
        </w:rPr>
        <w:t>2</w:t>
      </w:r>
      <w:r>
        <w:rPr>
          <w:rFonts w:ascii="方正仿宋_GBK" w:hAnsi="Times New Roman" w:eastAsia="方正仿宋_GBK"/>
          <w:sz w:val="32"/>
          <w:highlight w:val="none"/>
        </w:rPr>
        <w:t>月</w:t>
      </w:r>
      <w:r>
        <w:rPr>
          <w:rFonts w:hint="eastAsia" w:ascii="方正仿宋_GBK" w:hAnsi="Times New Roman" w:eastAsia="方正仿宋_GBK"/>
          <w:sz w:val="32"/>
          <w:highlight w:val="none"/>
          <w:lang w:val="en-US" w:eastAsia="zh-CN"/>
        </w:rPr>
        <w:t>5</w:t>
      </w:r>
      <w:r>
        <w:rPr>
          <w:rFonts w:ascii="方正仿宋_GBK" w:hAnsi="Times New Roman" w:eastAsia="方正仿宋_GBK"/>
          <w:sz w:val="32"/>
          <w:highlight w:val="none"/>
        </w:rPr>
        <w:t>日</w:t>
      </w:r>
      <w:r>
        <w:rPr>
          <w:rFonts w:hint="eastAsia" w:ascii="方正仿宋_GBK" w:hAnsi="Times New Roman" w:eastAsia="方正仿宋_GBK"/>
          <w:sz w:val="32"/>
        </w:rPr>
        <w:t>1</w:t>
      </w:r>
      <w:r>
        <w:rPr>
          <w:rFonts w:hint="eastAsia" w:ascii="方正仿宋_GBK" w:hAnsi="Times New Roman" w:eastAsia="方正仿宋_GBK"/>
          <w:sz w:val="32"/>
          <w:lang w:val="en-US" w:eastAsia="zh-CN"/>
        </w:rPr>
        <w:t>5</w:t>
      </w:r>
      <w:r>
        <w:rPr>
          <w:rFonts w:ascii="方正仿宋_GBK" w:hAnsi="Times New Roman" w:eastAsia="方正仿宋_GBK"/>
          <w:sz w:val="32"/>
        </w:rPr>
        <w:t>时</w:t>
      </w:r>
      <w:r>
        <w:rPr>
          <w:rFonts w:hint="eastAsia" w:ascii="方正仿宋_GBK" w:hAnsi="Times New Roman" w:eastAsia="方正仿宋_GBK"/>
          <w:sz w:val="32"/>
          <w:lang w:val="en-US" w:eastAsia="zh-CN"/>
        </w:rPr>
        <w:t>0</w:t>
      </w:r>
      <w:r>
        <w:rPr>
          <w:rFonts w:hint="eastAsia" w:ascii="方正仿宋_GBK" w:hAnsi="Times New Roman" w:eastAsia="方正仿宋_GBK"/>
          <w:sz w:val="32"/>
        </w:rPr>
        <w:t>0分</w:t>
      </w:r>
      <w:r>
        <w:rPr>
          <w:rFonts w:ascii="方正仿宋_GBK" w:hAnsi="Times New Roman" w:eastAsia="方正仿宋_GBK"/>
          <w:sz w:val="32"/>
        </w:rPr>
        <w:t>前将</w:t>
      </w:r>
      <w:r>
        <w:rPr>
          <w:rFonts w:ascii="方正仿宋_GBK" w:hAnsi="Times New Roman" w:eastAsia="方正仿宋_GBK"/>
          <w:b/>
          <w:sz w:val="32"/>
        </w:rPr>
        <w:t>密封</w:t>
      </w:r>
      <w:r>
        <w:rPr>
          <w:rFonts w:ascii="方正仿宋_GBK" w:hAnsi="Times New Roman" w:eastAsia="方正仿宋_GBK"/>
          <w:sz w:val="32"/>
        </w:rPr>
        <w:t>报价资料、公司资料（包括营业执照以及我行要求的其他相关资质证书复印件）、法人授权委托书（附授权人和被授权人的身份证复印件）送达：</w:t>
      </w:r>
      <w:r>
        <w:rPr>
          <w:rFonts w:hint="eastAsia" w:ascii="方正仿宋_GBK" w:hAnsi="仿宋_GB2312" w:eastAsia="方正仿宋_GBK"/>
          <w:sz w:val="32"/>
        </w:rPr>
        <w:t>重庆市</w:t>
      </w:r>
      <w:r>
        <w:rPr>
          <w:rFonts w:hint="eastAsia" w:ascii="方正仿宋_GBK" w:hAnsi="仿宋_GB2312" w:eastAsia="方正仿宋_GBK"/>
          <w:sz w:val="32"/>
          <w:lang w:eastAsia="zh-CN"/>
        </w:rPr>
        <w:t>江北区永平门街</w:t>
      </w:r>
      <w:r>
        <w:rPr>
          <w:rFonts w:hint="eastAsia" w:ascii="方正仿宋_GBK" w:hAnsi="仿宋_GB2312" w:eastAsia="方正仿宋_GBK"/>
          <w:sz w:val="32"/>
          <w:lang w:val="en-US" w:eastAsia="zh-CN"/>
        </w:rPr>
        <w:t>6号</w:t>
      </w:r>
      <w:r>
        <w:rPr>
          <w:rFonts w:hint="eastAsia" w:ascii="方正仿宋_GBK" w:hAnsi="仿宋_GB2312" w:eastAsia="方正仿宋_GBK"/>
          <w:sz w:val="32"/>
        </w:rPr>
        <w:t>重庆银行</w:t>
      </w:r>
      <w:r>
        <w:rPr>
          <w:rFonts w:hint="eastAsia" w:ascii="方正仿宋_GBK" w:hAnsi="仿宋_GB2312" w:eastAsia="方正仿宋_GBK"/>
          <w:sz w:val="32"/>
          <w:lang w:val="en-US" w:eastAsia="zh-CN"/>
        </w:rPr>
        <w:t>17楼</w:t>
      </w:r>
      <w:r>
        <w:rPr>
          <w:rFonts w:hint="eastAsia" w:ascii="方正仿宋_GBK" w:hAnsi="仿宋_GB2312" w:eastAsia="方正仿宋_GBK"/>
          <w:sz w:val="32"/>
        </w:rPr>
        <w:t>会议室</w:t>
      </w:r>
      <w:r>
        <w:rPr>
          <w:rFonts w:hint="eastAsia" w:ascii="方正仿宋_GBK" w:hAnsi="Times New Roman" w:eastAsia="方正仿宋_GBK"/>
          <w:sz w:val="32"/>
        </w:rPr>
        <w:t>，联系人及联系</w:t>
      </w:r>
      <w:r>
        <w:rPr>
          <w:rFonts w:hint="eastAsia" w:ascii="方正仿宋_GBK" w:hAnsi="Times New Roman" w:eastAsia="方正仿宋_GBK"/>
          <w:sz w:val="32"/>
          <w:lang w:eastAsia="zh-CN"/>
        </w:rPr>
        <w:t>电话</w:t>
      </w:r>
      <w:r>
        <w:rPr>
          <w:rFonts w:hint="eastAsia" w:ascii="方正仿宋_GBK" w:hAnsi="Times New Roman" w:eastAsia="方正仿宋_GBK"/>
          <w:sz w:val="32"/>
        </w:rPr>
        <w:t>：邓丽丽 63799291。</w:t>
      </w:r>
    </w:p>
    <w:p>
      <w:pPr>
        <w:widowControl/>
        <w:spacing w:line="520" w:lineRule="exact"/>
        <w:ind w:firstLine="672"/>
        <w:jc w:val="left"/>
        <w:rPr>
          <w:rFonts w:ascii="方正仿宋_GBK" w:hAnsi="Times New Roman" w:eastAsia="方正仿宋_GBK"/>
          <w:b/>
          <w:sz w:val="32"/>
        </w:rPr>
      </w:pPr>
      <w:r>
        <w:rPr>
          <w:rFonts w:hint="eastAsia" w:ascii="方正仿宋_GBK" w:hAnsi="Times New Roman" w:eastAsia="方正仿宋_GBK"/>
          <w:b/>
          <w:sz w:val="32"/>
        </w:rPr>
        <w:t>五</w:t>
      </w:r>
      <w:r>
        <w:rPr>
          <w:rFonts w:ascii="方正仿宋_GBK" w:hAnsi="Times New Roman" w:eastAsia="方正仿宋_GBK"/>
          <w:b/>
          <w:sz w:val="32"/>
        </w:rPr>
        <w:t>、具体采购内容及要求</w:t>
      </w:r>
    </w:p>
    <w:p>
      <w:pPr>
        <w:widowControl/>
        <w:spacing w:line="520" w:lineRule="exact"/>
        <w:ind w:firstLine="672"/>
        <w:jc w:val="lef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（一）</w:t>
      </w:r>
      <w:r>
        <w:rPr>
          <w:rFonts w:hint="eastAsia" w:ascii="方正黑体_GBK" w:eastAsia="方正黑体_GBK"/>
          <w:sz w:val="32"/>
          <w:szCs w:val="32"/>
        </w:rPr>
        <w:t>保险公司资质要求</w:t>
      </w:r>
    </w:p>
    <w:p>
      <w:pPr>
        <w:widowControl/>
        <w:spacing w:line="520" w:lineRule="exact"/>
        <w:ind w:firstLine="672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1、</w:t>
      </w:r>
      <w:r>
        <w:rPr>
          <w:rFonts w:hint="eastAsia" w:ascii="方正仿宋_GBK" w:eastAsia="方正仿宋_GBK"/>
          <w:b/>
          <w:sz w:val="32"/>
          <w:szCs w:val="32"/>
        </w:rPr>
        <w:t>注册资本：</w:t>
      </w:r>
      <w:r>
        <w:rPr>
          <w:rFonts w:hint="eastAsia" w:ascii="方正仿宋_GBK" w:eastAsia="方正仿宋_GBK"/>
          <w:sz w:val="32"/>
          <w:szCs w:val="32"/>
        </w:rPr>
        <w:t>不低于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0亿元人民币。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2、</w:t>
      </w:r>
      <w:r>
        <w:rPr>
          <w:rFonts w:hint="eastAsia" w:ascii="方正仿宋_GBK" w:eastAsia="方正仿宋_GBK"/>
          <w:b/>
          <w:sz w:val="32"/>
          <w:szCs w:val="32"/>
        </w:rPr>
        <w:t>公司性质：</w:t>
      </w:r>
      <w:r>
        <w:rPr>
          <w:rFonts w:hint="eastAsia" w:ascii="方正仿宋_GBK" w:eastAsia="方正仿宋_GBK"/>
          <w:sz w:val="32"/>
          <w:szCs w:val="32"/>
        </w:rPr>
        <w:t>股份制有限公司。</w:t>
      </w:r>
    </w:p>
    <w:p>
      <w:pPr>
        <w:ind w:firstLine="645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3、</w:t>
      </w:r>
      <w:r>
        <w:rPr>
          <w:rFonts w:hint="eastAsia" w:ascii="方正仿宋_GBK" w:eastAsia="方正仿宋_GBK"/>
          <w:b/>
          <w:sz w:val="32"/>
          <w:szCs w:val="32"/>
        </w:rPr>
        <w:t>经营保险范围：</w:t>
      </w:r>
      <w:r>
        <w:rPr>
          <w:rFonts w:hint="eastAsia" w:ascii="方正仿宋_GBK" w:eastAsia="方正仿宋_GBK"/>
          <w:sz w:val="32"/>
          <w:szCs w:val="32"/>
        </w:rPr>
        <w:t>专业从事财产保险、责任保险。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4、</w:t>
      </w:r>
      <w:r>
        <w:rPr>
          <w:rFonts w:hint="eastAsia" w:ascii="方正仿宋_GBK" w:eastAsia="方正仿宋_GBK"/>
          <w:b/>
          <w:sz w:val="32"/>
          <w:szCs w:val="32"/>
        </w:rPr>
        <w:t>网点覆盖：</w:t>
      </w:r>
      <w:r>
        <w:rPr>
          <w:rFonts w:hint="eastAsia" w:ascii="方正仿宋_GBK" w:eastAsia="方正仿宋_GBK"/>
          <w:sz w:val="32"/>
          <w:szCs w:val="32"/>
        </w:rPr>
        <w:t>全国性保险公司，需覆盖重庆、四川、贵州、陕西等省市自治区我行所辖分支机构。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5、</w:t>
      </w:r>
      <w:r>
        <w:rPr>
          <w:rFonts w:hint="eastAsia" w:ascii="方正仿宋_GBK" w:eastAsia="方正仿宋_GBK"/>
          <w:b/>
          <w:sz w:val="32"/>
          <w:szCs w:val="32"/>
        </w:rPr>
        <w:t>经营年限：</w:t>
      </w:r>
      <w:r>
        <w:rPr>
          <w:rFonts w:hint="eastAsia" w:ascii="方正仿宋_GBK" w:eastAsia="方正仿宋_GBK"/>
          <w:sz w:val="32"/>
          <w:szCs w:val="32"/>
        </w:rPr>
        <w:t>需经营专业财险、责任险5年（含）以上。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6、</w:t>
      </w:r>
      <w:r>
        <w:rPr>
          <w:rFonts w:hint="eastAsia" w:ascii="方正仿宋_GBK" w:eastAsia="方正仿宋_GBK"/>
          <w:b/>
          <w:sz w:val="32"/>
          <w:szCs w:val="32"/>
        </w:rPr>
        <w:t>保费收入：</w:t>
      </w:r>
      <w:r>
        <w:rPr>
          <w:rFonts w:hint="eastAsia" w:ascii="方正仿宋_GBK" w:eastAsia="方正仿宋_GBK"/>
          <w:sz w:val="32"/>
          <w:szCs w:val="32"/>
        </w:rPr>
        <w:t>近两年全年保费收入平均值不低于15亿元人民币。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7、</w:t>
      </w:r>
      <w:r>
        <w:rPr>
          <w:rFonts w:hint="eastAsia" w:ascii="方正仿宋_GBK" w:eastAsia="方正仿宋_GBK"/>
          <w:b/>
          <w:sz w:val="32"/>
          <w:szCs w:val="32"/>
        </w:rPr>
        <w:t>偿付能力充足率：</w:t>
      </w:r>
      <w:r>
        <w:rPr>
          <w:rFonts w:hint="eastAsia" w:ascii="方正仿宋_GBK" w:eastAsia="方正仿宋_GBK"/>
          <w:sz w:val="32"/>
          <w:szCs w:val="32"/>
        </w:rPr>
        <w:t>保险公司应当确保偿付能力充足率不低于100%，偿付能力充足率＝保险公司的实际资本/最低资本，反映了一个保险公司偿还债务的能力。</w:t>
      </w:r>
    </w:p>
    <w:p>
      <w:pPr>
        <w:ind w:firstLine="645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（二）</w:t>
      </w:r>
      <w:r>
        <w:rPr>
          <w:rFonts w:hint="eastAsia" w:ascii="方正黑体_GBK" w:eastAsia="方正黑体_GBK"/>
          <w:sz w:val="32"/>
          <w:szCs w:val="32"/>
        </w:rPr>
        <w:t>现金保险的基本要素及条件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1、</w:t>
      </w:r>
      <w:r>
        <w:rPr>
          <w:rFonts w:hint="eastAsia" w:ascii="方正仿宋_GBK" w:eastAsia="方正仿宋_GBK"/>
          <w:b/>
          <w:sz w:val="32"/>
          <w:szCs w:val="32"/>
        </w:rPr>
        <w:t>保险标的：</w:t>
      </w:r>
      <w:r>
        <w:rPr>
          <w:rFonts w:hint="eastAsia" w:ascii="方正仿宋_GBK" w:eastAsia="方正仿宋_GBK"/>
          <w:sz w:val="32"/>
          <w:szCs w:val="32"/>
        </w:rPr>
        <w:t>我行所持有的，或替他人保管或与他人共有的现金。</w:t>
      </w:r>
    </w:p>
    <w:p>
      <w:pPr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2、</w:t>
      </w:r>
      <w:r>
        <w:rPr>
          <w:rFonts w:hint="eastAsia" w:ascii="方正仿宋_GBK" w:eastAsia="方正仿宋_GBK"/>
          <w:b/>
          <w:sz w:val="32"/>
          <w:szCs w:val="32"/>
        </w:rPr>
        <w:t>保险责任：</w:t>
      </w:r>
    </w:p>
    <w:p>
      <w:pPr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保险期间内，由于下列原因造成保险标的的损失，由保险人负责赔偿：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⑴</w:t>
      </w:r>
      <w:r>
        <w:rPr>
          <w:rFonts w:hint="eastAsia" w:ascii="方正仿宋_GBK" w:eastAsia="方正仿宋_GBK"/>
          <w:sz w:val="32"/>
          <w:szCs w:val="32"/>
        </w:rPr>
        <w:t>由于火灾、爆炸、洪水</w:t>
      </w:r>
      <w:r>
        <w:rPr>
          <w:rFonts w:hint="eastAsia" w:ascii="方正仿宋_GBK" w:eastAsia="方正仿宋_GBK"/>
          <w:sz w:val="32"/>
          <w:szCs w:val="32"/>
          <w:highlight w:val="none"/>
        </w:rPr>
        <w:t>、地震</w:t>
      </w:r>
      <w:r>
        <w:rPr>
          <w:rFonts w:hint="eastAsia" w:ascii="方正仿宋_GBK" w:eastAsia="方正仿宋_GBK"/>
          <w:sz w:val="32"/>
          <w:szCs w:val="32"/>
        </w:rPr>
        <w:t>等造成保险标的损失；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⑵</w:t>
      </w:r>
      <w:r>
        <w:rPr>
          <w:rFonts w:hint="eastAsia" w:ascii="方正仿宋_GBK" w:eastAsia="方正仿宋_GBK"/>
          <w:sz w:val="32"/>
          <w:szCs w:val="32"/>
        </w:rPr>
        <w:t>我行雇员在前往银行送款或自银行提款回程中遭受抢劫；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⑶</w:t>
      </w:r>
      <w:r>
        <w:rPr>
          <w:rFonts w:hint="eastAsia" w:ascii="方正仿宋_GBK" w:eastAsia="方正仿宋_GBK"/>
          <w:sz w:val="32"/>
          <w:szCs w:val="32"/>
        </w:rPr>
        <w:t>存放在金库、保险箱（柜）内遭受盗窃</w:t>
      </w:r>
      <w:r>
        <w:rPr>
          <w:rFonts w:hint="eastAsia" w:ascii="方正仿宋_GBK" w:eastAsia="方正仿宋_GBK"/>
          <w:sz w:val="32"/>
          <w:szCs w:val="32"/>
          <w:lang w:eastAsia="zh-CN"/>
        </w:rPr>
        <w:t>、抢劫</w:t>
      </w:r>
      <w:r>
        <w:rPr>
          <w:rFonts w:hint="eastAsia" w:ascii="方正仿宋_GBK" w:eastAsia="方正仿宋_GBK"/>
          <w:sz w:val="32"/>
          <w:szCs w:val="32"/>
        </w:rPr>
        <w:t>；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⑷</w:t>
      </w:r>
      <w:r>
        <w:rPr>
          <w:rFonts w:hint="eastAsia" w:ascii="方正仿宋_GBK" w:eastAsia="方正仿宋_GBK"/>
          <w:sz w:val="32"/>
          <w:szCs w:val="32"/>
        </w:rPr>
        <w:t>在营业过程中遭受抢劫。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3、</w:t>
      </w:r>
      <w:r>
        <w:rPr>
          <w:rFonts w:hint="eastAsia" w:ascii="方正仿宋_GBK" w:eastAsia="方正仿宋_GBK"/>
          <w:b/>
          <w:sz w:val="32"/>
          <w:szCs w:val="32"/>
        </w:rPr>
        <w:t>保险金额：</w:t>
      </w:r>
      <w:r>
        <w:rPr>
          <w:rFonts w:hint="eastAsia" w:ascii="方正仿宋_GBK" w:eastAsia="方正仿宋_GBK"/>
          <w:sz w:val="32"/>
          <w:szCs w:val="32"/>
        </w:rPr>
        <w:t>人民币2亿元。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4、</w:t>
      </w:r>
      <w:r>
        <w:rPr>
          <w:rFonts w:hint="eastAsia" w:ascii="方正仿宋_GBK" w:eastAsia="方正仿宋_GBK"/>
          <w:b/>
          <w:sz w:val="32"/>
          <w:szCs w:val="32"/>
        </w:rPr>
        <w:t>保险期</w:t>
      </w:r>
      <w:r>
        <w:rPr>
          <w:rFonts w:hint="eastAsia" w:ascii="方正仿宋_GBK" w:eastAsia="方正仿宋_GBK"/>
          <w:b/>
          <w:sz w:val="32"/>
          <w:szCs w:val="32"/>
          <w:lang w:eastAsia="zh-CN"/>
        </w:rPr>
        <w:t>限</w:t>
      </w:r>
      <w:r>
        <w:rPr>
          <w:rFonts w:hint="eastAsia" w:ascii="方正仿宋_GBK" w:eastAsia="方正仿宋_GBK"/>
          <w:b/>
          <w:sz w:val="32"/>
          <w:szCs w:val="32"/>
        </w:rPr>
        <w:t>：</w:t>
      </w:r>
      <w:r>
        <w:rPr>
          <w:rFonts w:hint="eastAsia" w:ascii="方正仿宋_GBK" w:eastAsia="方正仿宋_GBK"/>
          <w:b/>
          <w:sz w:val="32"/>
          <w:szCs w:val="32"/>
          <w:highlight w:val="none"/>
          <w:lang w:eastAsia="zh-CN"/>
        </w:rPr>
        <w:t>二</w:t>
      </w:r>
      <w:r>
        <w:rPr>
          <w:rFonts w:hint="eastAsia" w:ascii="方正仿宋_GBK" w:eastAsia="方正仿宋_GBK"/>
          <w:sz w:val="32"/>
          <w:szCs w:val="32"/>
          <w:highlight w:val="none"/>
        </w:rPr>
        <w:t>年。</w:t>
      </w:r>
    </w:p>
    <w:p>
      <w:pPr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5、</w:t>
      </w:r>
      <w:r>
        <w:rPr>
          <w:rFonts w:hint="eastAsia" w:ascii="方正仿宋_GBK" w:eastAsia="方正仿宋_GBK"/>
          <w:b/>
          <w:sz w:val="32"/>
          <w:szCs w:val="32"/>
        </w:rPr>
        <w:t>其他：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⑴</w:t>
      </w:r>
      <w:r>
        <w:rPr>
          <w:rFonts w:hint="eastAsia" w:ascii="方正仿宋_GBK" w:eastAsia="方正仿宋_GBK"/>
          <w:sz w:val="32"/>
          <w:szCs w:val="32"/>
        </w:rPr>
        <w:t>若发生保险事故后，我行为防止或减少保险标的损失所支付的必要的、合理的费用，保险人负责赔偿，该费用最高赔偿限额不超过出险项目保险金额的10%。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⑵</w:t>
      </w:r>
      <w:r>
        <w:rPr>
          <w:rFonts w:hint="eastAsia" w:ascii="方正仿宋_GBK" w:eastAsia="方正仿宋_GBK"/>
          <w:sz w:val="32"/>
          <w:szCs w:val="32"/>
        </w:rPr>
        <w:t>免赔额（率）为零。</w:t>
      </w:r>
    </w:p>
    <w:p>
      <w:pPr>
        <w:ind w:firstLine="645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（三）</w:t>
      </w:r>
      <w:r>
        <w:rPr>
          <w:rFonts w:hint="eastAsia" w:ascii="方正黑体_GBK" w:eastAsia="方正黑体_GBK"/>
          <w:sz w:val="32"/>
          <w:szCs w:val="32"/>
        </w:rPr>
        <w:t>保险合同中的免责条款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1、</w:t>
      </w:r>
      <w:r>
        <w:rPr>
          <w:rFonts w:hint="eastAsia" w:ascii="方正仿宋_GBK" w:eastAsia="方正仿宋_GBK"/>
          <w:sz w:val="32"/>
          <w:szCs w:val="32"/>
        </w:rPr>
        <w:t>下列原因造成的损失和费用，保险人不负责赔偿：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⑴</w:t>
      </w:r>
      <w:r>
        <w:rPr>
          <w:rFonts w:hint="eastAsia" w:ascii="方正仿宋_GBK" w:eastAsia="方正仿宋_GBK"/>
          <w:sz w:val="32"/>
          <w:szCs w:val="32"/>
          <w:highlight w:val="none"/>
        </w:rPr>
        <w:t>被保险人及其代表的故意行为或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重大</w:t>
      </w:r>
      <w:r>
        <w:rPr>
          <w:rFonts w:hint="eastAsia" w:ascii="方正仿宋_GBK" w:eastAsia="方正仿宋_GBK"/>
          <w:sz w:val="32"/>
          <w:szCs w:val="32"/>
          <w:highlight w:val="none"/>
        </w:rPr>
        <w:t>过失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行为</w:t>
      </w:r>
      <w:r>
        <w:rPr>
          <w:rFonts w:hint="eastAsia" w:ascii="方正仿宋_GBK" w:eastAsia="方正仿宋_GBK"/>
          <w:sz w:val="32"/>
          <w:szCs w:val="32"/>
          <w:highlight w:val="none"/>
        </w:rPr>
        <w:t>；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⑵</w:t>
      </w:r>
      <w:r>
        <w:rPr>
          <w:rFonts w:hint="eastAsia" w:ascii="方正仿宋_GBK" w:eastAsia="方正仿宋_GBK"/>
          <w:sz w:val="32"/>
          <w:szCs w:val="32"/>
          <w:highlight w:val="none"/>
        </w:rPr>
        <w:t>被保险人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的</w:t>
      </w:r>
      <w:r>
        <w:rPr>
          <w:rFonts w:hint="eastAsia" w:ascii="方正仿宋_GBK" w:eastAsia="方正仿宋_GBK"/>
          <w:sz w:val="32"/>
          <w:szCs w:val="32"/>
          <w:highlight w:val="none"/>
        </w:rPr>
        <w:t>雇员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的欺诈或不诚实行为；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⑶</w:t>
      </w:r>
      <w:r>
        <w:rPr>
          <w:rFonts w:hint="eastAsia" w:ascii="方正仿宋_GBK" w:eastAsia="方正仿宋_GBK"/>
          <w:sz w:val="32"/>
          <w:szCs w:val="32"/>
          <w:highlight w:val="none"/>
        </w:rPr>
        <w:t>战争、类似战争行为、军事行为、武装冲突、恐怖活动、罢工、骚乱、暴动；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⑷</w:t>
      </w:r>
      <w:r>
        <w:rPr>
          <w:rFonts w:hint="eastAsia" w:ascii="方正仿宋_GBK" w:eastAsia="方正仿宋_GBK"/>
          <w:sz w:val="32"/>
          <w:szCs w:val="32"/>
          <w:highlight w:val="none"/>
        </w:rPr>
        <w:t>行政行为或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司</w:t>
      </w:r>
      <w:r>
        <w:rPr>
          <w:rFonts w:hint="eastAsia" w:ascii="方正仿宋_GBK" w:eastAsia="方正仿宋_GBK"/>
          <w:sz w:val="32"/>
          <w:szCs w:val="32"/>
          <w:highlight w:val="none"/>
        </w:rPr>
        <w:t>法行为；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⑸</w:t>
      </w:r>
      <w:r>
        <w:rPr>
          <w:rFonts w:hint="eastAsia" w:ascii="方正仿宋_GBK" w:eastAsia="方正仿宋_GBK"/>
          <w:sz w:val="32"/>
          <w:szCs w:val="32"/>
          <w:highlight w:val="none"/>
        </w:rPr>
        <w:t>核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辐射</w:t>
      </w:r>
      <w:r>
        <w:rPr>
          <w:rFonts w:hint="eastAsia" w:ascii="方正仿宋_GBK" w:eastAsia="方正仿宋_GBK"/>
          <w:sz w:val="32"/>
          <w:szCs w:val="32"/>
          <w:highlight w:val="none"/>
        </w:rPr>
        <w:t>、核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爆炸、核污染及其他</w:t>
      </w:r>
      <w:r>
        <w:rPr>
          <w:rFonts w:hint="eastAsia" w:ascii="方正仿宋_GBK" w:eastAsia="方正仿宋_GBK"/>
          <w:sz w:val="32"/>
          <w:szCs w:val="32"/>
          <w:highlight w:val="none"/>
        </w:rPr>
        <w:t>放射性污染。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方正仿宋_GBK" w:eastAsia="方正仿宋_GBK"/>
          <w:sz w:val="32"/>
          <w:szCs w:val="32"/>
          <w:highlight w:val="none"/>
        </w:rPr>
        <w:t>被保险人的下列损失和费用，保险人不负责赔偿：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⑴</w:t>
      </w:r>
      <w:r>
        <w:rPr>
          <w:rFonts w:hint="eastAsia" w:ascii="方正仿宋_GBK" w:eastAsia="方正仿宋_GBK"/>
          <w:sz w:val="32"/>
          <w:szCs w:val="32"/>
          <w:highlight w:val="none"/>
        </w:rPr>
        <w:t>送款或提款时由于无故绕道及随意停留造成的损失；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⑵</w:t>
      </w:r>
      <w:r>
        <w:rPr>
          <w:rFonts w:hint="eastAsia" w:ascii="方正仿宋_GBK" w:eastAsia="方正仿宋_GBK"/>
          <w:sz w:val="32"/>
          <w:szCs w:val="32"/>
          <w:highlight w:val="none"/>
        </w:rPr>
        <w:t>因保管不善导致保险标的损坏、霉烂、虫咬的损失；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⑶</w:t>
      </w:r>
      <w:r>
        <w:rPr>
          <w:rFonts w:hint="eastAsia" w:ascii="方正仿宋_GBK" w:eastAsia="方正仿宋_GBK"/>
          <w:sz w:val="32"/>
          <w:szCs w:val="32"/>
          <w:highlight w:val="none"/>
        </w:rPr>
        <w:t>保险标的遭受保险事故引起的各种间接损失；</w:t>
      </w:r>
    </w:p>
    <w:p>
      <w:pPr>
        <w:ind w:firstLine="645"/>
        <w:rPr>
          <w:rFonts w:hint="eastAsia"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⑷</w:t>
      </w:r>
      <w:r>
        <w:rPr>
          <w:rFonts w:hint="eastAsia" w:ascii="方正仿宋_GBK" w:eastAsia="方正仿宋_GBK"/>
          <w:sz w:val="32"/>
          <w:szCs w:val="32"/>
          <w:highlight w:val="none"/>
        </w:rPr>
        <w:t>保险合同中规定的应由被保险人自行负担的免赔额。</w:t>
      </w:r>
    </w:p>
    <w:p>
      <w:pPr>
        <w:ind w:firstLine="645"/>
        <w:rPr>
          <w:rFonts w:ascii="方正黑体_GBK" w:eastAsia="方正黑体_GBK"/>
          <w:sz w:val="32"/>
          <w:szCs w:val="32"/>
          <w:highlight w:val="none"/>
        </w:rPr>
      </w:pPr>
      <w:r>
        <w:rPr>
          <w:rFonts w:hint="eastAsia" w:ascii="方正黑体_GBK" w:eastAsia="方正黑体_GBK"/>
          <w:sz w:val="32"/>
          <w:szCs w:val="32"/>
          <w:highlight w:val="none"/>
          <w:lang w:eastAsia="zh-CN"/>
        </w:rPr>
        <w:t>（四）</w:t>
      </w:r>
      <w:r>
        <w:rPr>
          <w:rFonts w:hint="eastAsia" w:ascii="方正黑体_GBK" w:eastAsia="方正黑体_GBK"/>
          <w:sz w:val="32"/>
          <w:szCs w:val="32"/>
          <w:highlight w:val="none"/>
        </w:rPr>
        <w:t>特别约定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方正仿宋_GBK" w:eastAsia="方正仿宋_GBK"/>
          <w:sz w:val="32"/>
          <w:szCs w:val="32"/>
          <w:highlight w:val="none"/>
        </w:rPr>
        <w:t>经有效裁判法律文书认定，被保险人的雇员携款潜逃，贪污、职务侵占，保险人不承担保险责任。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方正仿宋_GBK" w:eastAsia="方正仿宋_GBK"/>
          <w:sz w:val="32"/>
          <w:szCs w:val="32"/>
          <w:highlight w:val="none"/>
        </w:rPr>
        <w:t>保险标的发生保险责任范围内的损失，保险人按照出险当时的实际损失赔偿，最高以保险单上列明的保险金额为限。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方正仿宋_GBK" w:eastAsia="方正仿宋_GBK"/>
          <w:sz w:val="32"/>
          <w:szCs w:val="32"/>
          <w:highlight w:val="none"/>
        </w:rPr>
        <w:t>保险人承诺在保险期内须获得被保险人同意才可提前解除本保险。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方正仿宋_GBK" w:eastAsia="方正仿宋_GBK"/>
          <w:sz w:val="32"/>
          <w:szCs w:val="32"/>
          <w:highlight w:val="none"/>
        </w:rPr>
        <w:t>被保险人其营业服务网点（含分支机构）二十四小时有专门人员值班（自助银行和自助机具除外），在非营业时间，保险标的应锁入保险柜或现金库房内；否则，一旦发生保险事故，不管什么原因，保险人均可不负赔偿责任。</w:t>
      </w:r>
    </w:p>
    <w:p>
      <w:pPr>
        <w:ind w:firstLine="645"/>
        <w:rPr>
          <w:rFonts w:hint="eastAsia"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5、</w:t>
      </w:r>
      <w:r>
        <w:rPr>
          <w:rFonts w:hint="eastAsia" w:ascii="方正仿宋_GBK" w:eastAsia="方正仿宋_GBK"/>
          <w:sz w:val="32"/>
          <w:szCs w:val="32"/>
          <w:highlight w:val="none"/>
        </w:rPr>
        <w:t>保险合同中的保险标的范围包括：⑴重庆银行下辖所有分支机构，含重庆辖区及异地分支机构，包括但不限于重庆、四川、贵州、陕西。⑵重庆银行所有现金库房。⑶重庆银行全行所有上门收款点、服务点。⑷为重庆银行提供保管服务的现金库房。⑸重庆银行所有在行式、离行式自助机具、自助银行。⑹在押运、解送过程中的保险标的。⑺本保险期内被保险人新开设的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分支机构、营业网点、</w:t>
      </w:r>
      <w:r>
        <w:rPr>
          <w:rFonts w:hint="eastAsia" w:ascii="方正仿宋_GBK" w:eastAsia="方正仿宋_GBK"/>
          <w:sz w:val="32"/>
          <w:szCs w:val="32"/>
          <w:highlight w:val="none"/>
        </w:rPr>
        <w:t>现金库房、上门服务点、在行式、离行式自助机具、自助银行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以及</w:t>
      </w:r>
      <w:r>
        <w:rPr>
          <w:rFonts w:hint="eastAsia" w:ascii="方正仿宋_GBK" w:eastAsia="方正仿宋_GBK"/>
          <w:sz w:val="32"/>
          <w:szCs w:val="32"/>
          <w:highlight w:val="none"/>
        </w:rPr>
        <w:t>为重庆银行提供保管服务的现金库房。⑻以上保险人均视为合法经营服务机构。</w:t>
      </w:r>
    </w:p>
    <w:p>
      <w:pPr>
        <w:ind w:firstLine="645"/>
        <w:rPr>
          <w:rFonts w:asciiTheme="minorHAnsi" w:hAnsiTheme="minorHAnsi" w:eastAsiaTheme="minorEastAsia" w:cstheme="minorBidi"/>
        </w:rPr>
      </w:pPr>
    </w:p>
    <w:p>
      <w:pPr>
        <w:widowControl/>
        <w:jc w:val="left"/>
        <w:rPr>
          <w:rFonts w:ascii="方正仿宋_GBK" w:hAnsi="Times New Roman" w:eastAsia="方正仿宋_GBK"/>
          <w:sz w:val="32"/>
        </w:rPr>
      </w:pPr>
    </w:p>
    <w:p>
      <w:pPr>
        <w:widowControl/>
        <w:jc w:val="left"/>
        <w:rPr>
          <w:rFonts w:ascii="方正仿宋_GBK" w:hAnsi="Times New Roman" w:eastAsia="方正仿宋_GBK"/>
          <w:sz w:val="32"/>
        </w:rPr>
      </w:pPr>
      <w:r>
        <w:rPr>
          <w:rFonts w:hint="eastAsia" w:ascii="方正仿宋_GBK" w:hAnsi="Times New Roman" w:eastAsia="方正仿宋_GBK"/>
          <w:sz w:val="32"/>
        </w:rPr>
        <w:t>附件：1、法人授权书</w:t>
      </w:r>
    </w:p>
    <w:p>
      <w:pPr>
        <w:widowControl/>
        <w:jc w:val="left"/>
        <w:rPr>
          <w:rFonts w:ascii="方正仿宋_GBK" w:hAnsi="Times New Roman" w:eastAsia="方正仿宋_GBK"/>
          <w:sz w:val="32"/>
        </w:rPr>
      </w:pPr>
      <w:r>
        <w:rPr>
          <w:rFonts w:hint="eastAsia" w:ascii="方正仿宋_GBK" w:hAnsi="Times New Roman" w:eastAsia="方正仿宋_GBK"/>
          <w:sz w:val="32"/>
        </w:rPr>
        <w:t xml:space="preserve">      2、重庆银行现金保险项目报价表</w:t>
      </w:r>
    </w:p>
    <w:p>
      <w:pPr>
        <w:widowControl/>
        <w:jc w:val="left"/>
        <w:rPr>
          <w:rFonts w:ascii="方正仿宋_GBK" w:hAnsi="Times New Roman" w:eastAsia="方正仿宋_GBK"/>
          <w:sz w:val="32"/>
        </w:rPr>
      </w:pPr>
    </w:p>
    <w:p>
      <w:pPr>
        <w:widowControl/>
        <w:jc w:val="left"/>
        <w:rPr>
          <w:rFonts w:ascii="方正仿宋_GBK" w:hAnsi="Times New Roman" w:eastAsia="方正仿宋_GBK"/>
          <w:sz w:val="32"/>
        </w:rPr>
      </w:pPr>
    </w:p>
    <w:p>
      <w:pPr>
        <w:widowControl/>
        <w:jc w:val="right"/>
        <w:rPr>
          <w:rFonts w:ascii="方正仿宋_GBK" w:hAnsi="Times New Roman" w:eastAsia="方正仿宋_GBK"/>
          <w:sz w:val="32"/>
        </w:rPr>
      </w:pPr>
      <w:r>
        <w:rPr>
          <w:rFonts w:ascii="方正仿宋_GBK" w:hAnsi="Times New Roman" w:eastAsia="方正仿宋_GBK"/>
          <w:sz w:val="32"/>
        </w:rPr>
        <w:t>重庆银行</w:t>
      </w:r>
      <w:r>
        <w:rPr>
          <w:rFonts w:hint="eastAsia" w:ascii="方正仿宋_GBK" w:hAnsi="Times New Roman" w:eastAsia="方正仿宋_GBK"/>
          <w:sz w:val="32"/>
        </w:rPr>
        <w:t>股份有限公司运营管理</w:t>
      </w:r>
      <w:r>
        <w:rPr>
          <w:rFonts w:ascii="方正仿宋_GBK" w:hAnsi="Times New Roman" w:eastAsia="方正仿宋_GBK"/>
          <w:sz w:val="32"/>
        </w:rPr>
        <w:t>部</w:t>
      </w:r>
    </w:p>
    <w:p>
      <w:pPr>
        <w:widowControl/>
        <w:spacing w:line="440" w:lineRule="exact"/>
        <w:jc w:val="right"/>
        <w:rPr>
          <w:rFonts w:ascii="方正小标宋_GBK" w:hAnsi="Times New Roman" w:eastAsia="方正小标宋_GBK"/>
          <w:sz w:val="44"/>
        </w:rPr>
      </w:pPr>
      <w:r>
        <w:rPr>
          <w:rFonts w:hint="eastAsia" w:ascii="方正仿宋_GBK" w:hAnsi="Times New Roman" w:eastAsia="方正仿宋_GBK"/>
          <w:sz w:val="32"/>
        </w:rPr>
        <w:t>202</w:t>
      </w:r>
      <w:r>
        <w:rPr>
          <w:rFonts w:hint="eastAsia" w:ascii="方正仿宋_GBK" w:hAnsi="Times New Roman" w:eastAsia="方正仿宋_GBK"/>
          <w:sz w:val="32"/>
          <w:lang w:val="en-US" w:eastAsia="zh-CN"/>
        </w:rPr>
        <w:t>3</w:t>
      </w:r>
      <w:r>
        <w:rPr>
          <w:rFonts w:ascii="方正仿宋_GBK" w:hAnsi="Times New Roman" w:eastAsia="方正仿宋_GBK"/>
          <w:sz w:val="32"/>
          <w:highlight w:val="none"/>
        </w:rPr>
        <w:t>年</w:t>
      </w:r>
      <w:r>
        <w:rPr>
          <w:rFonts w:hint="eastAsia" w:ascii="方正仿宋_GBK" w:hAnsi="Times New Roman" w:eastAsia="方正仿宋_GBK"/>
          <w:sz w:val="32"/>
          <w:highlight w:val="none"/>
        </w:rPr>
        <w:t>11</w:t>
      </w:r>
      <w:r>
        <w:rPr>
          <w:rFonts w:ascii="方正仿宋_GBK" w:hAnsi="Times New Roman" w:eastAsia="方正仿宋_GBK"/>
          <w:sz w:val="32"/>
          <w:highlight w:val="none"/>
        </w:rPr>
        <w:t>月</w:t>
      </w:r>
      <w:r>
        <w:rPr>
          <w:rFonts w:hint="eastAsia" w:ascii="方正仿宋_GBK" w:hAnsi="Times New Roman" w:eastAsia="方正仿宋_GBK"/>
          <w:sz w:val="32"/>
          <w:highlight w:val="none"/>
          <w:lang w:val="en-US" w:eastAsia="zh-CN"/>
        </w:rPr>
        <w:t>28</w:t>
      </w:r>
      <w:bookmarkStart w:id="0" w:name="_GoBack"/>
      <w:bookmarkEnd w:id="0"/>
      <w:r>
        <w:rPr>
          <w:rFonts w:ascii="方正仿宋_GBK" w:hAnsi="Times New Roman" w:eastAsia="方正仿宋_GBK"/>
          <w:sz w:val="32"/>
          <w:highlight w:val="none"/>
        </w:rPr>
        <w:t>日</w:t>
      </w:r>
      <w:r>
        <w:rPr>
          <w:rFonts w:ascii="方正小标宋_GBK" w:hAnsi="Times New Roman" w:eastAsia="方正小标宋_GBK"/>
          <w:sz w:val="44"/>
        </w:rPr>
        <w:br w:type="page"/>
      </w:r>
    </w:p>
    <w:p>
      <w:pPr>
        <w:widowControl/>
        <w:jc w:val="left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附件1：</w:t>
      </w:r>
    </w:p>
    <w:p>
      <w:pPr>
        <w:widowControl/>
        <w:jc w:val="center"/>
        <w:rPr>
          <w:rFonts w:ascii="方正小标宋_GBK" w:hAnsi="Times New Roman" w:eastAsia="方正小标宋_GBK"/>
          <w:sz w:val="44"/>
        </w:rPr>
      </w:pPr>
      <w:r>
        <w:rPr>
          <w:rFonts w:ascii="方正小标宋_GBK" w:hAnsi="Times New Roman" w:eastAsia="方正小标宋_GBK"/>
          <w:sz w:val="44"/>
        </w:rPr>
        <w:t>法人授权书</w:t>
      </w:r>
    </w:p>
    <w:p>
      <w:pPr>
        <w:widowControl/>
        <w:snapToGrid w:val="0"/>
        <w:spacing w:line="600" w:lineRule="exact"/>
        <w:jc w:val="left"/>
        <w:rPr>
          <w:rFonts w:ascii="方正仿宋_GBK" w:hAnsi="Times New Roman" w:eastAsia="方正仿宋_GBK"/>
          <w:sz w:val="32"/>
        </w:rPr>
      </w:pPr>
      <w:r>
        <w:rPr>
          <w:rFonts w:ascii="方正仿宋_GBK" w:hAnsi="Times New Roman" w:eastAsia="方正仿宋_GBK"/>
          <w:sz w:val="32"/>
        </w:rPr>
        <w:t>重庆银行</w:t>
      </w:r>
      <w:r>
        <w:rPr>
          <w:rFonts w:hint="eastAsia" w:ascii="方正仿宋_GBK" w:hAnsi="Times New Roman" w:eastAsia="方正仿宋_GBK"/>
          <w:sz w:val="32"/>
        </w:rPr>
        <w:t>运营管理</w:t>
      </w:r>
      <w:r>
        <w:rPr>
          <w:rFonts w:ascii="方正仿宋_GBK" w:hAnsi="Times New Roman" w:eastAsia="方正仿宋_GBK"/>
          <w:sz w:val="32"/>
        </w:rPr>
        <w:t>部：</w:t>
      </w:r>
    </w:p>
    <w:p>
      <w:pPr>
        <w:widowControl/>
        <w:snapToGrid w:val="0"/>
        <w:spacing w:line="600" w:lineRule="exact"/>
        <w:ind w:firstLine="672"/>
        <w:jc w:val="left"/>
        <w:rPr>
          <w:rFonts w:ascii="方正仿宋_GBK" w:hAnsi="Times New Roman" w:eastAsia="方正仿宋_GBK"/>
          <w:sz w:val="32"/>
        </w:rPr>
      </w:pPr>
      <w:r>
        <w:rPr>
          <w:rFonts w:ascii="方正仿宋_GBK" w:hAnsi="Times New Roman" w:eastAsia="方正仿宋_GBK"/>
          <w:sz w:val="32"/>
          <w:u w:val="single"/>
        </w:rPr>
        <w:t>（报价单位全称）</w:t>
      </w:r>
      <w:r>
        <w:rPr>
          <w:rFonts w:ascii="方正仿宋_GBK" w:hAnsi="Times New Roman" w:eastAsia="方正仿宋_GBK"/>
          <w:sz w:val="32"/>
        </w:rPr>
        <w:t>法人代表授权（</w:t>
      </w:r>
      <w:r>
        <w:rPr>
          <w:rFonts w:ascii="方正仿宋_GBK" w:hAnsi="Times New Roman" w:eastAsia="方正仿宋_GBK"/>
          <w:sz w:val="32"/>
          <w:u w:val="single"/>
        </w:rPr>
        <w:t>授权代表姓名）</w:t>
      </w:r>
      <w:r>
        <w:rPr>
          <w:rFonts w:ascii="方正仿宋_GBK" w:hAnsi="Times New Roman" w:eastAsia="方正仿宋_GBK"/>
          <w:sz w:val="32"/>
        </w:rPr>
        <w:t>为授权代表，参加贵部项目商务谈判活动，全权处理商务谈判中的一切事宜。</w:t>
      </w:r>
    </w:p>
    <w:p>
      <w:pPr>
        <w:widowControl/>
        <w:jc w:val="left"/>
        <w:rPr>
          <w:rFonts w:ascii="方正仿宋_GBK" w:hAnsi="Times New Roman" w:eastAsia="方正仿宋_GBK"/>
          <w:sz w:val="32"/>
        </w:rPr>
      </w:pPr>
    </w:p>
    <w:p>
      <w:pPr>
        <w:widowControl/>
        <w:jc w:val="left"/>
        <w:rPr>
          <w:rFonts w:ascii="方正仿宋_GBK" w:hAnsi="Times New Roman" w:eastAsia="方正仿宋_GBK"/>
          <w:sz w:val="32"/>
        </w:rPr>
      </w:pPr>
      <w:r>
        <w:rPr>
          <w:rFonts w:ascii="方正仿宋_GBK" w:hAnsi="Times New Roman" w:eastAsia="方正仿宋_GBK"/>
          <w:sz w:val="32"/>
        </w:rPr>
        <w:t>法人代表（签字或盖章）：</w:t>
      </w:r>
    </w:p>
    <w:p>
      <w:pPr>
        <w:widowControl/>
        <w:jc w:val="left"/>
        <w:rPr>
          <w:rFonts w:ascii="方正仿宋_GBK" w:hAnsi="Times New Roman" w:eastAsia="方正仿宋_GBK"/>
          <w:sz w:val="32"/>
        </w:rPr>
      </w:pPr>
    </w:p>
    <w:p>
      <w:pPr>
        <w:widowControl/>
        <w:jc w:val="left"/>
        <w:rPr>
          <w:rFonts w:ascii="方正仿宋_GBK" w:hAnsi="Times New Roman" w:eastAsia="方正仿宋_GBK"/>
          <w:sz w:val="32"/>
        </w:rPr>
      </w:pPr>
      <w:r>
        <w:rPr>
          <w:rFonts w:ascii="方正仿宋_GBK" w:hAnsi="Times New Roman" w:eastAsia="方正仿宋_GBK"/>
          <w:sz w:val="32"/>
        </w:rPr>
        <w:t>被授权人（签字）：</w:t>
      </w:r>
    </w:p>
    <w:p>
      <w:pPr>
        <w:widowControl/>
        <w:jc w:val="left"/>
        <w:rPr>
          <w:rFonts w:ascii="方正仿宋_GBK" w:hAnsi="Times New Roman" w:eastAsia="方正仿宋_GBK"/>
          <w:sz w:val="32"/>
        </w:rPr>
      </w:pPr>
    </w:p>
    <w:p>
      <w:pPr>
        <w:widowControl/>
        <w:jc w:val="left"/>
        <w:rPr>
          <w:rFonts w:ascii="方正仿宋_GBK" w:hAnsi="Times New Roman" w:eastAsia="方正仿宋_GBK"/>
          <w:sz w:val="32"/>
        </w:rPr>
      </w:pPr>
      <w:r>
        <w:rPr>
          <w:rFonts w:hint="eastAsia" w:ascii="方正仿宋_GBK" w:hAnsi="Times New Roman" w:eastAsia="方正仿宋_GBK"/>
          <w:sz w:val="32"/>
        </w:rPr>
        <w:t>供应商</w:t>
      </w:r>
      <w:r>
        <w:rPr>
          <w:rFonts w:ascii="方正仿宋_GBK" w:hAnsi="Times New Roman" w:eastAsia="方正仿宋_GBK"/>
          <w:sz w:val="32"/>
        </w:rPr>
        <w:t>全称（加盖公章）：</w:t>
      </w:r>
    </w:p>
    <w:p>
      <w:pPr>
        <w:widowControl/>
        <w:jc w:val="left"/>
        <w:rPr>
          <w:rFonts w:ascii="方正仿宋_GBK" w:hAnsi="Times New Roman" w:eastAsia="方正仿宋_GBK"/>
          <w:sz w:val="32"/>
        </w:rPr>
      </w:pPr>
    </w:p>
    <w:p>
      <w:pPr>
        <w:widowControl/>
        <w:jc w:val="left"/>
        <w:rPr>
          <w:rFonts w:ascii="方正仿宋_GBK" w:hAnsi="Times New Roman" w:eastAsia="方正仿宋_GBK"/>
          <w:sz w:val="32"/>
        </w:rPr>
      </w:pPr>
      <w:r>
        <w:rPr>
          <w:rFonts w:ascii="方正仿宋_GBK" w:hAnsi="Times New Roman" w:eastAsia="方正仿宋_GBK"/>
          <w:sz w:val="32"/>
        </w:rPr>
        <w:t>签署日期：</w:t>
      </w:r>
    </w:p>
    <w:p>
      <w:pPr>
        <w:widowControl/>
        <w:spacing w:line="440" w:lineRule="exact"/>
        <w:jc w:val="left"/>
        <w:rPr>
          <w:rFonts w:ascii="方正仿宋_GBK" w:hAnsi="Times New Roman" w:eastAsia="方正仿宋_GBK"/>
          <w:sz w:val="32"/>
        </w:rPr>
      </w:pPr>
    </w:p>
    <w:p>
      <w:pPr>
        <w:widowControl/>
        <w:spacing w:line="440" w:lineRule="exact"/>
        <w:jc w:val="left"/>
        <w:rPr>
          <w:rFonts w:ascii="方正仿宋_GBK" w:hAnsi="Times New Roman" w:eastAsia="方正仿宋_GBK"/>
          <w:sz w:val="32"/>
        </w:rPr>
      </w:pPr>
      <w:r>
        <w:rPr>
          <w:rFonts w:ascii="方正仿宋_GBK" w:hAnsi="Times New Roman" w:eastAsia="方正仿宋_GBK"/>
          <w:sz w:val="32"/>
        </w:rPr>
        <w:t>法人身份证复印件：          授权代表身份证复印件：</w:t>
      </w:r>
    </w:p>
    <w:p>
      <w:pPr>
        <w:widowControl/>
        <w:spacing w:line="440" w:lineRule="exact"/>
        <w:jc w:val="left"/>
        <w:rPr>
          <w:rFonts w:ascii="方正仿宋_GBK" w:hAnsi="Times New Roman" w:eastAsia="方正仿宋_GBK"/>
          <w:sz w:val="32"/>
        </w:rPr>
      </w:pPr>
    </w:p>
    <w:tbl>
      <w:tblPr>
        <w:tblStyle w:val="12"/>
        <w:tblpPr w:vertAnchor="text" w:horzAnchor="margin" w:tblpY="233"/>
        <w:tblW w:w="90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0"/>
        <w:gridCol w:w="4530"/>
      </w:tblGrid>
      <w:tr>
        <w:tblPrEx>
          <w:tblLayout w:type="fixed"/>
        </w:tblPrEx>
        <w:trPr>
          <w:trHeight w:val="3253" w:hRule="atLeast"/>
        </w:trPr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exact"/>
              <w:jc w:val="left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exact"/>
              <w:jc w:val="left"/>
              <w:rPr>
                <w:rFonts w:ascii="方正仿宋_GBK" w:eastAsia="方正仿宋_GBK"/>
                <w:sz w:val="32"/>
              </w:rPr>
            </w:pPr>
          </w:p>
        </w:tc>
      </w:tr>
    </w:tbl>
    <w:p>
      <w:pPr>
        <w:widowControl/>
        <w:jc w:val="left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附件2：</w:t>
      </w:r>
    </w:p>
    <w:p>
      <w:pPr>
        <w:widowControl/>
        <w:spacing w:line="440" w:lineRule="exact"/>
        <w:jc w:val="left"/>
        <w:rPr>
          <w:rFonts w:ascii="仿宋_GB2312" w:hAnsi="Times New Roman"/>
          <w:sz w:val="32"/>
        </w:rPr>
      </w:pPr>
    </w:p>
    <w:p>
      <w:pPr>
        <w:widowControl/>
        <w:spacing w:line="600" w:lineRule="exact"/>
        <w:jc w:val="center"/>
        <w:rPr>
          <w:rFonts w:ascii="方正小标宋_GBK" w:eastAsia="方正小标宋_GBK"/>
          <w:b/>
          <w:sz w:val="44"/>
        </w:rPr>
      </w:pPr>
      <w:r>
        <w:rPr>
          <w:rFonts w:hint="eastAsia" w:ascii="方正小标宋_GBK" w:hAnsi="Times New Roman" w:eastAsia="方正小标宋_GBK"/>
          <w:sz w:val="44"/>
        </w:rPr>
        <w:t>重庆银行现金保险</w:t>
      </w:r>
      <w:r>
        <w:rPr>
          <w:rFonts w:ascii="方正小标宋_GBK" w:hAnsi="Times New Roman" w:eastAsia="方正小标宋_GBK"/>
          <w:sz w:val="44"/>
        </w:rPr>
        <w:t>项目</w:t>
      </w:r>
      <w:r>
        <w:rPr>
          <w:rFonts w:ascii="方正小标宋_GBK" w:eastAsia="方正小标宋_GBK"/>
          <w:sz w:val="44"/>
        </w:rPr>
        <w:t>报价表</w:t>
      </w:r>
    </w:p>
    <w:p>
      <w:pPr>
        <w:widowControl/>
        <w:tabs>
          <w:tab w:val="left" w:pos="540"/>
          <w:tab w:val="left" w:pos="720"/>
        </w:tabs>
        <w:snapToGrid w:val="0"/>
        <w:spacing w:line="600" w:lineRule="exact"/>
        <w:ind w:firstLine="672"/>
        <w:jc w:val="left"/>
        <w:rPr>
          <w:rFonts w:ascii="仿宋_GB2312"/>
          <w:sz w:val="32"/>
        </w:rPr>
      </w:pPr>
    </w:p>
    <w:tbl>
      <w:tblPr>
        <w:tblStyle w:val="12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3508"/>
        <w:gridCol w:w="1370"/>
        <w:gridCol w:w="26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序号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保险标的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保险金额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保险费报价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sz w:val="24"/>
              </w:rPr>
            </w:pPr>
            <w:r>
              <w:rPr>
                <w:rFonts w:ascii="Times New Roman" w:hAnsi="Times New Roman" w:eastAsia="黑体"/>
                <w:b/>
                <w:sz w:val="24"/>
              </w:rPr>
              <w:t>1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/>
                <w:sz w:val="22"/>
              </w:rPr>
            </w:pPr>
            <w:r>
              <w:rPr>
                <w:rFonts w:hint="eastAsia" w:hAnsi="Times New Roman"/>
                <w:sz w:val="22"/>
              </w:rPr>
              <w:t>我行所持有的，或替他人保管或与他人共有的现金。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/>
                <w:sz w:val="22"/>
              </w:rPr>
            </w:pPr>
            <w:r>
              <w:rPr>
                <w:rFonts w:hint="eastAsia" w:hAnsi="Times New Roman"/>
                <w:sz w:val="22"/>
              </w:rPr>
              <w:t>人民币2亿元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5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Times New Roman" w:hAnsi="Times New Roman" w:eastAsia="黑体"/>
                <w:b/>
                <w:sz w:val="24"/>
              </w:rPr>
              <w:t>总计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</w:p>
        </w:tc>
      </w:tr>
    </w:tbl>
    <w:p>
      <w:pPr>
        <w:widowControl/>
        <w:tabs>
          <w:tab w:val="left" w:pos="540"/>
          <w:tab w:val="left" w:pos="720"/>
        </w:tabs>
        <w:snapToGrid w:val="0"/>
        <w:spacing w:line="600" w:lineRule="exact"/>
        <w:ind w:firstLine="672"/>
        <w:jc w:val="left"/>
        <w:rPr>
          <w:rFonts w:ascii="仿宋_GB2312" w:hAnsi="Times New Roman"/>
          <w:sz w:val="32"/>
        </w:rPr>
      </w:pPr>
    </w:p>
    <w:p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hAnsi="Times New Roman" w:eastAsia="方正仿宋_GBK"/>
          <w:sz w:val="32"/>
        </w:rPr>
      </w:pPr>
      <w:r>
        <w:rPr>
          <w:rFonts w:ascii="方正仿宋_GBK" w:hAnsi="Times New Roman" w:eastAsia="方正仿宋_GBK"/>
          <w:sz w:val="32"/>
        </w:rPr>
        <w:t>供应商（加盖公章）：</w:t>
      </w:r>
    </w:p>
    <w:p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hAnsi="Times New Roman" w:eastAsia="方正仿宋_GBK"/>
          <w:sz w:val="32"/>
        </w:rPr>
      </w:pPr>
    </w:p>
    <w:p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hAnsi="Times New Roman" w:eastAsia="方正仿宋_GBK"/>
          <w:sz w:val="32"/>
        </w:rPr>
      </w:pPr>
      <w:r>
        <w:rPr>
          <w:rFonts w:ascii="方正仿宋_GBK" w:hAnsi="Times New Roman" w:eastAsia="方正仿宋_GBK"/>
          <w:sz w:val="32"/>
        </w:rPr>
        <w:t>授权代表签字：</w:t>
      </w:r>
    </w:p>
    <w:p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hAnsi="Times New Roman" w:eastAsia="方正仿宋_GBK"/>
          <w:sz w:val="32"/>
        </w:rPr>
      </w:pPr>
      <w:r>
        <w:rPr>
          <w:rFonts w:ascii="方正仿宋_GBK" w:hAnsi="Times New Roman" w:eastAsia="方正仿宋_GBK"/>
          <w:sz w:val="32"/>
        </w:rPr>
        <w:t>时间：</w:t>
      </w:r>
    </w:p>
    <w:p>
      <w:pPr>
        <w:widowControl/>
        <w:spacing w:line="440" w:lineRule="exact"/>
        <w:jc w:val="left"/>
        <w:rPr>
          <w:rFonts w:ascii="仿宋_GB2312" w:hAnsi="Times New Roman"/>
          <w:sz w:val="32"/>
        </w:rPr>
      </w:pPr>
    </w:p>
    <w:p>
      <w:pPr>
        <w:widowControl/>
        <w:spacing w:line="440" w:lineRule="exact"/>
        <w:jc w:val="left"/>
        <w:rPr>
          <w:rFonts w:ascii="仿宋_GB2312" w:hAnsi="Times New Roman"/>
          <w:sz w:val="32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仿宋_GB2312" w:hAnsi="Times New Roman"/>
          <w:sz w:val="28"/>
        </w:rPr>
      </w:pPr>
      <w:r>
        <w:rPr>
          <w:rFonts w:ascii="方正仿宋_GBK" w:hAnsi="Times New Roman" w:eastAsia="方正仿宋_GBK"/>
          <w:sz w:val="28"/>
        </w:rPr>
        <w:t>注：报价表格式仅供参考，请根据项目具体情况进行调整。</w:t>
      </w: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仿宋" w:hAnsi="仿宋" w:eastAsia="仿宋"/>
          <w:sz w:val="32"/>
        </w:rPr>
      </w:pPr>
    </w:p>
    <w:p>
      <w:pPr>
        <w:widowControl/>
        <w:spacing w:line="440" w:lineRule="exact"/>
        <w:jc w:val="left"/>
        <w:rPr>
          <w:rFonts w:ascii="方正仿宋_GBK" w:hAnsi="Times New Roman" w:eastAsia="方正仿宋_GBK"/>
          <w:sz w:val="32"/>
        </w:rPr>
      </w:pPr>
    </w:p>
    <w:p>
      <w:pPr>
        <w:widowControl/>
        <w:spacing w:line="440" w:lineRule="exact"/>
        <w:jc w:val="left"/>
        <w:rPr>
          <w:rFonts w:ascii="方正仿宋_GBK" w:hAnsi="Times New Roman" w:eastAsia="方正仿宋_GBK"/>
          <w:sz w:val="32"/>
        </w:rPr>
      </w:pPr>
    </w:p>
    <w:p>
      <w:pPr>
        <w:widowControl/>
        <w:jc w:val="left"/>
        <w:rPr>
          <w:rFonts w:ascii="仿宋" w:hAnsi="仿宋" w:eastAsia="仿宋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3863"/>
    <w:rsid w:val="000260E1"/>
    <w:rsid w:val="00030008"/>
    <w:rsid w:val="000465A0"/>
    <w:rsid w:val="000809D2"/>
    <w:rsid w:val="0009478F"/>
    <w:rsid w:val="000D019C"/>
    <w:rsid w:val="000E0271"/>
    <w:rsid w:val="000E531C"/>
    <w:rsid w:val="000F5635"/>
    <w:rsid w:val="00110205"/>
    <w:rsid w:val="001907F6"/>
    <w:rsid w:val="001B7CD7"/>
    <w:rsid w:val="001D2773"/>
    <w:rsid w:val="001E3B15"/>
    <w:rsid w:val="002361D5"/>
    <w:rsid w:val="00236F06"/>
    <w:rsid w:val="00252CC4"/>
    <w:rsid w:val="002B3FEB"/>
    <w:rsid w:val="002F0BA5"/>
    <w:rsid w:val="00317A78"/>
    <w:rsid w:val="003440E3"/>
    <w:rsid w:val="0034414A"/>
    <w:rsid w:val="003461ED"/>
    <w:rsid w:val="003807CB"/>
    <w:rsid w:val="003B4EF5"/>
    <w:rsid w:val="003B54F0"/>
    <w:rsid w:val="003F25A6"/>
    <w:rsid w:val="00400CF9"/>
    <w:rsid w:val="004146C2"/>
    <w:rsid w:val="0043074E"/>
    <w:rsid w:val="00445F82"/>
    <w:rsid w:val="00461746"/>
    <w:rsid w:val="0048236E"/>
    <w:rsid w:val="004E7D70"/>
    <w:rsid w:val="00546364"/>
    <w:rsid w:val="005637BF"/>
    <w:rsid w:val="00570A82"/>
    <w:rsid w:val="00580D3C"/>
    <w:rsid w:val="005862BD"/>
    <w:rsid w:val="00594211"/>
    <w:rsid w:val="005B19AA"/>
    <w:rsid w:val="005D0CF5"/>
    <w:rsid w:val="00603863"/>
    <w:rsid w:val="006A25F1"/>
    <w:rsid w:val="006D1CC5"/>
    <w:rsid w:val="006D793E"/>
    <w:rsid w:val="006F55A9"/>
    <w:rsid w:val="00707D00"/>
    <w:rsid w:val="007154C2"/>
    <w:rsid w:val="007670C6"/>
    <w:rsid w:val="00767971"/>
    <w:rsid w:val="007D20C4"/>
    <w:rsid w:val="007D76BB"/>
    <w:rsid w:val="00817B13"/>
    <w:rsid w:val="00832ED7"/>
    <w:rsid w:val="00857B53"/>
    <w:rsid w:val="0087084F"/>
    <w:rsid w:val="008F5502"/>
    <w:rsid w:val="0090079E"/>
    <w:rsid w:val="00902811"/>
    <w:rsid w:val="00945239"/>
    <w:rsid w:val="009656B7"/>
    <w:rsid w:val="00970C0B"/>
    <w:rsid w:val="00971217"/>
    <w:rsid w:val="00986769"/>
    <w:rsid w:val="00992217"/>
    <w:rsid w:val="009D2F62"/>
    <w:rsid w:val="009F4008"/>
    <w:rsid w:val="00A1671A"/>
    <w:rsid w:val="00A3036E"/>
    <w:rsid w:val="00A933EB"/>
    <w:rsid w:val="00AA0194"/>
    <w:rsid w:val="00AC456F"/>
    <w:rsid w:val="00AE2FDF"/>
    <w:rsid w:val="00B10B3A"/>
    <w:rsid w:val="00B73548"/>
    <w:rsid w:val="00B86EAC"/>
    <w:rsid w:val="00BC36FD"/>
    <w:rsid w:val="00BD5E8B"/>
    <w:rsid w:val="00BD765E"/>
    <w:rsid w:val="00C43051"/>
    <w:rsid w:val="00C5091C"/>
    <w:rsid w:val="00C55DFD"/>
    <w:rsid w:val="00CA046E"/>
    <w:rsid w:val="00D11AB3"/>
    <w:rsid w:val="00D52672"/>
    <w:rsid w:val="00D97FEB"/>
    <w:rsid w:val="00DA06C4"/>
    <w:rsid w:val="00DB64CC"/>
    <w:rsid w:val="00DF0CE1"/>
    <w:rsid w:val="00E80849"/>
    <w:rsid w:val="00E86C35"/>
    <w:rsid w:val="00EF3821"/>
    <w:rsid w:val="00F127C9"/>
    <w:rsid w:val="00F3622D"/>
    <w:rsid w:val="00FC7029"/>
    <w:rsid w:val="4EED37C1"/>
    <w:rsid w:val="4F3F2C1B"/>
    <w:rsid w:val="520801DB"/>
    <w:rsid w:val="54D02BDB"/>
    <w:rsid w:val="777F185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name="Body Text Indent 2"/>
    <w:lsdException w:uiPriority="99" w:name="Body Text Indent 3"/>
    <w:lsdException w:uiPriority="99" w:name="Block Text"/>
    <w:lsdException w:unhideWhenUsed="0" w:uiPriority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28"/>
    <w:semiHidden/>
    <w:uiPriority w:val="0"/>
    <w:pPr>
      <w:spacing w:line="600" w:lineRule="exact"/>
      <w:ind w:firstLine="672" w:firstLineChars="200"/>
    </w:pPr>
    <w:rPr>
      <w:rFonts w:ascii="仿宋_GB2312" w:hAnsi="Cambria" w:eastAsia="仿宋_GB2312"/>
      <w:snapToGrid w:val="0"/>
      <w:spacing w:val="255"/>
      <w:kern w:val="0"/>
      <w:sz w:val="32"/>
      <w:szCs w:val="36"/>
    </w:rPr>
  </w:style>
  <w:style w:type="paragraph" w:styleId="3">
    <w:name w:val="Balloon Text"/>
    <w:basedOn w:val="1"/>
    <w:link w:val="27"/>
    <w:unhideWhenUsed/>
    <w:uiPriority w:val="99"/>
    <w:rPr>
      <w:rFonts w:ascii="宋体" w:hAnsi="Wingdings 3"/>
      <w:spacing w:val="255"/>
      <w:kern w:val="0"/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sz w:val="21"/>
    </w:rPr>
  </w:style>
  <w:style w:type="character" w:styleId="8">
    <w:name w:val="page number"/>
    <w:semiHidden/>
    <w:uiPriority w:val="0"/>
    <w:rPr>
      <w:rFonts w:cs="Segoe UI"/>
      <w:sz w:val="20"/>
    </w:rPr>
  </w:style>
  <w:style w:type="character" w:styleId="9">
    <w:name w:val="Emphasis"/>
    <w:qFormat/>
    <w:uiPriority w:val="0"/>
    <w:rPr>
      <w:i/>
      <w:sz w:val="21"/>
    </w:rPr>
  </w:style>
  <w:style w:type="character" w:styleId="10">
    <w:name w:val="Hyperlink"/>
    <w:semiHidden/>
    <w:uiPriority w:val="0"/>
    <w:rPr>
      <w:color w:val="0000FF"/>
      <w:sz w:val="20"/>
      <w:u w:val="single"/>
    </w:rPr>
  </w:style>
  <w:style w:type="character" w:styleId="11">
    <w:name w:val="annotation reference"/>
    <w:semiHidden/>
    <w:qFormat/>
    <w:uiPriority w:val="0"/>
    <w:rPr>
      <w:sz w:val="20"/>
    </w:rPr>
  </w:style>
  <w:style w:type="table" w:styleId="13">
    <w:name w:val="Table Grid"/>
    <w:uiPriority w:val="0"/>
    <w:rPr>
      <w:rFonts w:ascii="宋体" w:hAnsi="宋体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6"/>
    <w:link w:val="5"/>
    <w:uiPriority w:val="99"/>
    <w:rPr>
      <w:sz w:val="18"/>
      <w:szCs w:val="18"/>
    </w:rPr>
  </w:style>
  <w:style w:type="character" w:customStyle="1" w:styleId="15">
    <w:name w:val="页脚 Char"/>
    <w:basedOn w:val="6"/>
    <w:link w:val="4"/>
    <w:uiPriority w:val="99"/>
    <w:rPr>
      <w:sz w:val="18"/>
      <w:szCs w:val="18"/>
    </w:rPr>
  </w:style>
  <w:style w:type="character" w:customStyle="1" w:styleId="16">
    <w:name w:val="Subtle Emphasis"/>
    <w:qFormat/>
    <w:uiPriority w:val="0"/>
    <w:rPr>
      <w:i/>
      <w:color w:val="404040"/>
      <w:sz w:val="21"/>
    </w:rPr>
  </w:style>
  <w:style w:type="character" w:customStyle="1" w:styleId="17">
    <w:name w:val="Intense Emphasis"/>
    <w:qFormat/>
    <w:uiPriority w:val="0"/>
    <w:rPr>
      <w:i/>
      <w:color w:val="5B9BD5"/>
      <w:sz w:val="21"/>
    </w:rPr>
  </w:style>
  <w:style w:type="character" w:customStyle="1" w:styleId="18">
    <w:name w:val="Subtle Reference"/>
    <w:qFormat/>
    <w:uiPriority w:val="0"/>
    <w:rPr>
      <w:color w:val="5A5A5A"/>
      <w:sz w:val="21"/>
    </w:rPr>
  </w:style>
  <w:style w:type="character" w:customStyle="1" w:styleId="19">
    <w:name w:val="Intense Reference"/>
    <w:qFormat/>
    <w:uiPriority w:val="0"/>
    <w:rPr>
      <w:b/>
      <w:color w:val="5B9BD5"/>
      <w:sz w:val="21"/>
    </w:rPr>
  </w:style>
  <w:style w:type="character" w:customStyle="1" w:styleId="20">
    <w:name w:val="Book Title"/>
    <w:qFormat/>
    <w:uiPriority w:val="0"/>
    <w:rPr>
      <w:b/>
      <w:i/>
      <w:sz w:val="21"/>
    </w:rPr>
  </w:style>
  <w:style w:type="character" w:customStyle="1" w:styleId="21">
    <w:name w:val="批注文字 Char"/>
    <w:semiHidden/>
    <w:qFormat/>
    <w:uiPriority w:val="0"/>
    <w:rPr>
      <w:sz w:val="20"/>
    </w:rPr>
  </w:style>
  <w:style w:type="character" w:customStyle="1" w:styleId="22">
    <w:name w:val="批注主题 Char"/>
    <w:semiHidden/>
    <w:uiPriority w:val="0"/>
    <w:rPr>
      <w:b/>
      <w:sz w:val="20"/>
    </w:rPr>
  </w:style>
  <w:style w:type="character" w:customStyle="1" w:styleId="23">
    <w:name w:val="批注框文本 Char"/>
    <w:semiHidden/>
    <w:uiPriority w:val="0"/>
    <w:rPr>
      <w:sz w:val="20"/>
    </w:rPr>
  </w:style>
  <w:style w:type="table" w:customStyle="1" w:styleId="24">
    <w:name w:val="网格型1"/>
    <w:uiPriority w:val="0"/>
    <w:rPr>
      <w:rFonts w:ascii="宋体" w:hAnsi="宋体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网格型2"/>
    <w:uiPriority w:val="0"/>
    <w:rPr>
      <w:rFonts w:ascii="宋体" w:hAnsi="宋体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标题 1 Char"/>
    <w:uiPriority w:val="0"/>
    <w:rPr>
      <w:b/>
      <w:sz w:val="20"/>
    </w:rPr>
  </w:style>
  <w:style w:type="character" w:customStyle="1" w:styleId="27">
    <w:name w:val="批注框文本 Char1"/>
    <w:basedOn w:val="6"/>
    <w:link w:val="3"/>
    <w:semiHidden/>
    <w:uiPriority w:val="99"/>
    <w:rPr>
      <w:rFonts w:ascii="宋体" w:hAnsi="Wingdings 3" w:eastAsia="宋体" w:cs="Times New Roman"/>
      <w:spacing w:val="255"/>
      <w:kern w:val="0"/>
      <w:sz w:val="18"/>
      <w:szCs w:val="18"/>
    </w:rPr>
  </w:style>
  <w:style w:type="character" w:customStyle="1" w:styleId="28">
    <w:name w:val="正文文本缩进 2 Char"/>
    <w:basedOn w:val="6"/>
    <w:link w:val="2"/>
    <w:semiHidden/>
    <w:qFormat/>
    <w:uiPriority w:val="0"/>
    <w:rPr>
      <w:rFonts w:ascii="仿宋_GB2312" w:hAnsi="Cambria" w:eastAsia="仿宋_GB2312" w:cs="Times New Roman"/>
      <w:snapToGrid w:val="0"/>
      <w:spacing w:val="255"/>
      <w:kern w:val="0"/>
      <w:sz w:val="32"/>
      <w:szCs w:val="36"/>
    </w:rPr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320</Words>
  <Characters>1829</Characters>
  <Lines>15</Lines>
  <Paragraphs>4</Paragraphs>
  <ScaleCrop>false</ScaleCrop>
  <LinksUpToDate>false</LinksUpToDate>
  <CharactersWithSpaces>2145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2019-07-19T08:09:00Z</dcterms:created>
  <dc:creator>周值</dc:creator>
  <cp:lastModifiedBy>重庆银行</cp:lastModifiedBy>
  <cp:lastPrinted>2021-11-30T06:37:00Z</cp:lastPrinted>
  <dcterms:modified xsi:type="dcterms:W3CDTF">2023-11-27T07:43:41Z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