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b/>
          <w:bCs/>
          <w:color w:val="000000"/>
          <w:sz w:val="32"/>
        </w:rPr>
      </w:pPr>
      <w:bookmarkStart w:id="13" w:name="_GoBack"/>
      <w:bookmarkEnd w:id="13"/>
    </w:p>
    <w:p>
      <w:pPr>
        <w:snapToGrid w:val="0"/>
        <w:spacing w:line="600" w:lineRule="exact"/>
        <w:jc w:val="center"/>
        <w:rPr>
          <w:rFonts w:ascii="方正仿宋_GBK" w:eastAsia="方正仿宋_GBK"/>
          <w:b/>
          <w:bCs/>
          <w:sz w:val="32"/>
        </w:rPr>
      </w:pPr>
      <w:r>
        <w:rPr>
          <w:rFonts w:hint="eastAsia" w:ascii="方正仿宋_GBK" w:eastAsia="方正仿宋_GBK"/>
          <w:b/>
          <w:bCs/>
          <w:sz w:val="32"/>
        </w:rPr>
        <w:t>项目名称：重庆银行成都分行本部气体灭火系统采购项目</w:t>
      </w:r>
    </w:p>
    <w:p>
      <w:pPr>
        <w:jc w:val="center"/>
        <w:rPr>
          <w:rFonts w:ascii="方正仿宋_GBK" w:eastAsia="方正仿宋_GBK"/>
          <w:b/>
          <w:bCs/>
          <w:sz w:val="32"/>
        </w:rPr>
      </w:pPr>
    </w:p>
    <w:p>
      <w:pPr>
        <w:ind w:firstLine="1606" w:firstLineChars="500"/>
        <w:rPr>
          <w:rFonts w:ascii="方正仿宋_GBK" w:hAnsi="宋体" w:eastAsia="方正仿宋_GBK"/>
          <w:b/>
          <w:bCs/>
          <w:sz w:val="32"/>
        </w:rPr>
      </w:pPr>
    </w:p>
    <w:p>
      <w:pPr>
        <w:rPr>
          <w:rFonts w:ascii="方正仿宋_GBK" w:eastAsia="方正仿宋_GBK"/>
          <w:b/>
          <w:bCs/>
          <w:sz w:val="32"/>
        </w:rPr>
      </w:pPr>
    </w:p>
    <w:p>
      <w:pPr>
        <w:widowControl/>
        <w:jc w:val="center"/>
        <w:rPr>
          <w:rFonts w:ascii="方正仿宋_GBK" w:hAnsi="宋体" w:eastAsia="方正仿宋_GBK"/>
          <w:b/>
          <w:bCs/>
          <w:sz w:val="72"/>
          <w:szCs w:val="72"/>
        </w:rPr>
      </w:pPr>
    </w:p>
    <w:p>
      <w:pPr>
        <w:widowControl/>
        <w:jc w:val="center"/>
        <w:rPr>
          <w:rFonts w:ascii="方正仿宋_GBK" w:eastAsia="方正仿宋_GBK"/>
          <w:b/>
          <w:spacing w:val="100"/>
          <w:kern w:val="0"/>
          <w:sz w:val="72"/>
          <w:szCs w:val="80"/>
        </w:rPr>
      </w:pPr>
      <w:r>
        <w:rPr>
          <w:rFonts w:hint="eastAsia" w:ascii="方正仿宋_GBK" w:hAnsi="黑体" w:eastAsia="方正仿宋_GBK"/>
          <w:b/>
          <w:bCs/>
          <w:sz w:val="72"/>
          <w:szCs w:val="80"/>
        </w:rPr>
        <w:t>竞争性谈判文件</w:t>
      </w: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pStyle w:val="29"/>
      </w:pPr>
    </w:p>
    <w:p>
      <w:pPr>
        <w:rPr>
          <w:rFonts w:ascii="方正仿宋_GBK" w:hAnsi="宋体" w:eastAsia="方正仿宋_GBK"/>
          <w:sz w:val="28"/>
          <w:szCs w:val="28"/>
        </w:rPr>
      </w:pPr>
      <w:r>
        <w:rPr>
          <w:rFonts w:hint="eastAsia" w:ascii="宋体" w:hAnsi="宋体" w:eastAsia="方正仿宋_GBK"/>
          <w:sz w:val="28"/>
          <w:szCs w:val="28"/>
        </w:rPr>
        <w:t>        </w:t>
      </w:r>
    </w:p>
    <w:p>
      <w:pPr>
        <w:ind w:firstLine="472" w:firstLineChars="147"/>
        <w:rPr>
          <w:rFonts w:ascii="方正仿宋_GBK" w:hAnsi="宋体" w:eastAsia="方正仿宋_GBK"/>
          <w:b/>
          <w:bCs/>
          <w:sz w:val="32"/>
        </w:rPr>
      </w:pPr>
      <w:r>
        <w:rPr>
          <w:rFonts w:hint="eastAsia" w:ascii="方正仿宋_GBK" w:hAnsi="宋体" w:eastAsia="方正仿宋_GBK"/>
          <w:b/>
          <w:bCs/>
          <w:sz w:val="32"/>
        </w:rPr>
        <w:t>采 购 人：重庆银行股份有限公司成都分行（盖章）</w:t>
      </w:r>
    </w:p>
    <w:p>
      <w:pPr>
        <w:jc w:val="center"/>
        <w:rPr>
          <w:rFonts w:ascii="方正仿宋_GBK" w:eastAsia="方正仿宋_GBK"/>
          <w:szCs w:val="21"/>
        </w:rPr>
      </w:pPr>
    </w:p>
    <w:p>
      <w:pPr>
        <w:jc w:val="center"/>
        <w:rPr>
          <w:rFonts w:ascii="方正仿宋_GBK" w:eastAsia="方正仿宋_GBK"/>
          <w:szCs w:val="21"/>
        </w:rPr>
      </w:pPr>
    </w:p>
    <w:p>
      <w:pPr>
        <w:pStyle w:val="50"/>
        <w:rPr>
          <w:rFonts w:ascii="方正仿宋_GBK" w:hAnsi="宋体" w:eastAsia="方正仿宋_GBK"/>
          <w:bCs/>
          <w:szCs w:val="24"/>
        </w:rPr>
        <w:sectPr>
          <w:footerReference r:id="rId3" w:type="even"/>
          <w:pgSz w:w="11906" w:h="16838"/>
          <w:pgMar w:top="1440" w:right="1800" w:bottom="1440" w:left="1800" w:header="851" w:footer="992" w:gutter="0"/>
          <w:cols w:space="720" w:num="1"/>
          <w:docGrid w:type="lines" w:linePitch="312" w:charSpace="0"/>
        </w:sectPr>
      </w:pPr>
      <w:r>
        <w:rPr>
          <w:rFonts w:hint="eastAsia" w:ascii="方正仿宋_GBK" w:hAnsi="宋体" w:eastAsia="方正仿宋_GBK"/>
          <w:bCs/>
          <w:szCs w:val="24"/>
        </w:rPr>
        <w:t>二〇二</w:t>
      </w:r>
      <w:r>
        <w:rPr>
          <w:rFonts w:hint="eastAsia" w:ascii="方正仿宋_GBK" w:hAnsi="宋体" w:eastAsia="方正仿宋_GBK"/>
          <w:bCs/>
          <w:szCs w:val="24"/>
          <w:lang w:val="en-US" w:eastAsia="zh-CN"/>
        </w:rPr>
        <w:t>四</w:t>
      </w:r>
      <w:r>
        <w:rPr>
          <w:rFonts w:hint="eastAsia" w:ascii="方正仿宋_GBK" w:hAnsi="宋体" w:eastAsia="方正仿宋_GBK"/>
          <w:bCs/>
          <w:szCs w:val="24"/>
        </w:rPr>
        <w:t>年</w:t>
      </w:r>
      <w:r>
        <w:rPr>
          <w:rFonts w:hint="eastAsia" w:ascii="方正仿宋_GBK" w:hAnsi="宋体" w:eastAsia="方正仿宋_GBK"/>
          <w:bCs/>
          <w:szCs w:val="24"/>
          <w:lang w:val="en-US" w:eastAsia="zh-CN"/>
        </w:rPr>
        <w:t>三</w:t>
      </w:r>
      <w:r>
        <w:rPr>
          <w:rFonts w:hint="eastAsia" w:ascii="方正仿宋_GBK" w:hAnsi="宋体" w:eastAsia="方正仿宋_GBK"/>
          <w:bCs/>
          <w:szCs w:val="24"/>
        </w:rPr>
        <w:t>月</w:t>
      </w:r>
    </w:p>
    <w:p>
      <w:pPr>
        <w:pStyle w:val="17"/>
        <w:rPr>
          <w:rFonts w:ascii="方正小标宋_GBK" w:eastAsia="方正小标宋_GBK"/>
          <w:bCs/>
          <w:color w:val="000000"/>
          <w:sz w:val="36"/>
        </w:rPr>
      </w:pPr>
    </w:p>
    <w:p>
      <w:pPr>
        <w:pStyle w:val="17"/>
        <w:rPr>
          <w:rFonts w:ascii="方正小标宋_GBK" w:eastAsia="方正小标宋_GBK"/>
          <w:bCs/>
          <w:color w:val="000000"/>
          <w:sz w:val="36"/>
        </w:rPr>
      </w:pPr>
    </w:p>
    <w:p>
      <w:pPr>
        <w:pStyle w:val="17"/>
        <w:rPr>
          <w:rFonts w:ascii="方正小标宋_GBK" w:eastAsia="方正小标宋_GBK"/>
          <w:bCs/>
          <w:color w:val="000000"/>
          <w:sz w:val="36"/>
        </w:rPr>
      </w:pPr>
      <w:r>
        <w:rPr>
          <w:rFonts w:hint="eastAsia" w:ascii="方正小标宋_GBK" w:eastAsia="方正小标宋_GBK"/>
          <w:bCs/>
          <w:color w:val="000000"/>
          <w:sz w:val="36"/>
        </w:rPr>
        <w:t>目  录</w:t>
      </w:r>
    </w:p>
    <w:p>
      <w:pPr>
        <w:pStyle w:val="17"/>
        <w:rPr>
          <w:color w:val="000000"/>
        </w:rPr>
      </w:pPr>
    </w:p>
    <w:p>
      <w:pPr>
        <w:pStyle w:val="17"/>
        <w:rPr>
          <w:rFonts w:ascii="Calibri" w:eastAsia="宋体"/>
          <w:sz w:val="21"/>
          <w:szCs w:val="22"/>
        </w:rPr>
      </w:pPr>
      <w:r>
        <w:rPr>
          <w:rFonts w:hint="eastAsia"/>
          <w:b/>
          <w:bCs/>
          <w:color w:val="000000"/>
        </w:rPr>
        <w:fldChar w:fldCharType="begin"/>
      </w:r>
      <w:r>
        <w:rPr>
          <w:b/>
          <w:bCs/>
          <w:color w:val="000000"/>
        </w:rPr>
        <w:instrText xml:space="preserve"> TOC \o "1-2" \h \z \u </w:instrText>
      </w:r>
      <w:r>
        <w:rPr>
          <w:rFonts w:hint="eastAsia"/>
          <w:b/>
          <w:bCs/>
          <w:color w:val="000000"/>
        </w:rPr>
        <w:fldChar w:fldCharType="separate"/>
      </w:r>
      <w:r>
        <w:fldChar w:fldCharType="begin"/>
      </w:r>
      <w:r>
        <w:instrText xml:space="preserve"> HYPERLINK \l "_Toc89789303" </w:instrText>
      </w:r>
      <w:r>
        <w:fldChar w:fldCharType="separate"/>
      </w:r>
      <w:r>
        <w:rPr>
          <w:rStyle w:val="27"/>
          <w:rFonts w:hint="eastAsia"/>
        </w:rPr>
        <w:t>第一部分</w:t>
      </w:r>
      <w:r>
        <w:rPr>
          <w:rStyle w:val="27"/>
        </w:rPr>
        <w:t>  </w:t>
      </w:r>
      <w:r>
        <w:rPr>
          <w:rStyle w:val="27"/>
          <w:rFonts w:hint="eastAsia"/>
        </w:rPr>
        <w:t xml:space="preserve"> 竞争性谈判邀请函</w:t>
      </w:r>
      <w:r>
        <w:tab/>
      </w:r>
      <w:r>
        <w:fldChar w:fldCharType="begin"/>
      </w:r>
      <w:r>
        <w:instrText xml:space="preserve"> PAGEREF _Toc89789303 \h </w:instrText>
      </w:r>
      <w:r>
        <w:fldChar w:fldCharType="separate"/>
      </w:r>
      <w:r>
        <w:t>1</w:t>
      </w:r>
      <w:r>
        <w:fldChar w:fldCharType="end"/>
      </w:r>
      <w:r>
        <w:fldChar w:fldCharType="end"/>
      </w:r>
    </w:p>
    <w:p>
      <w:pPr>
        <w:pStyle w:val="17"/>
        <w:rPr>
          <w:rFonts w:ascii="Calibri" w:eastAsia="宋体"/>
          <w:sz w:val="21"/>
          <w:szCs w:val="22"/>
        </w:rPr>
      </w:pPr>
      <w:r>
        <w:fldChar w:fldCharType="begin"/>
      </w:r>
      <w:r>
        <w:instrText xml:space="preserve"> HYPERLINK \l "_Toc89789304" </w:instrText>
      </w:r>
      <w:r>
        <w:fldChar w:fldCharType="separate"/>
      </w:r>
      <w:r>
        <w:rPr>
          <w:rStyle w:val="27"/>
          <w:rFonts w:hint="eastAsia"/>
        </w:rPr>
        <w:t>第二部分</w:t>
      </w:r>
      <w:r>
        <w:rPr>
          <w:rStyle w:val="27"/>
        </w:rPr>
        <w:t xml:space="preserve">   </w:t>
      </w:r>
      <w:r>
        <w:rPr>
          <w:rStyle w:val="27"/>
          <w:rFonts w:hint="eastAsia"/>
        </w:rPr>
        <w:t>采购须知</w:t>
      </w:r>
      <w:r>
        <w:tab/>
      </w:r>
      <w:r>
        <w:fldChar w:fldCharType="begin"/>
      </w:r>
      <w:r>
        <w:instrText xml:space="preserve"> PAGEREF _Toc89789304 \h </w:instrText>
      </w:r>
      <w:r>
        <w:fldChar w:fldCharType="separate"/>
      </w:r>
      <w:r>
        <w:t>3</w:t>
      </w:r>
      <w:r>
        <w:fldChar w:fldCharType="end"/>
      </w:r>
      <w:r>
        <w:fldChar w:fldCharType="end"/>
      </w:r>
    </w:p>
    <w:p>
      <w:pPr>
        <w:pStyle w:val="17"/>
        <w:rPr>
          <w:rFonts w:ascii="Calibri" w:eastAsia="宋体"/>
          <w:sz w:val="21"/>
          <w:szCs w:val="22"/>
        </w:rPr>
      </w:pPr>
      <w:r>
        <w:fldChar w:fldCharType="begin"/>
      </w:r>
      <w:r>
        <w:instrText xml:space="preserve"> HYPERLINK \l "_Toc89789305" </w:instrText>
      </w:r>
      <w:r>
        <w:fldChar w:fldCharType="separate"/>
      </w:r>
      <w:r>
        <w:rPr>
          <w:rStyle w:val="27"/>
          <w:rFonts w:hint="eastAsia" w:ascii="方正仿宋_GBK" w:eastAsia="方正仿宋_GBK"/>
        </w:rPr>
        <w:t>第三部分</w:t>
      </w:r>
      <w:r>
        <w:rPr>
          <w:rStyle w:val="27"/>
          <w:rFonts w:ascii="方正仿宋_GBK" w:eastAsia="方正仿宋_GBK"/>
        </w:rPr>
        <w:t xml:space="preserve"> </w:t>
      </w:r>
      <w:r>
        <w:rPr>
          <w:rStyle w:val="27"/>
          <w:rFonts w:eastAsia="方正仿宋_GBK"/>
        </w:rPr>
        <w:t>  </w:t>
      </w:r>
      <w:r>
        <w:rPr>
          <w:rStyle w:val="27"/>
          <w:rFonts w:hint="eastAsia" w:ascii="方正仿宋_GBK" w:eastAsia="方正仿宋_GBK"/>
        </w:rPr>
        <w:t>技术规范</w:t>
      </w:r>
      <w:r>
        <w:tab/>
      </w:r>
      <w:r>
        <w:fldChar w:fldCharType="begin"/>
      </w:r>
      <w:r>
        <w:instrText xml:space="preserve"> PAGEREF _Toc89789305 \h </w:instrText>
      </w:r>
      <w:r>
        <w:fldChar w:fldCharType="separate"/>
      </w:r>
      <w:r>
        <w:t>11</w:t>
      </w:r>
      <w:r>
        <w:fldChar w:fldCharType="end"/>
      </w:r>
      <w:r>
        <w:fldChar w:fldCharType="end"/>
      </w:r>
    </w:p>
    <w:p>
      <w:pPr>
        <w:pStyle w:val="17"/>
        <w:rPr>
          <w:rFonts w:ascii="Calibri" w:eastAsia="宋体"/>
          <w:sz w:val="21"/>
          <w:szCs w:val="22"/>
        </w:rPr>
      </w:pPr>
      <w:r>
        <w:fldChar w:fldCharType="begin"/>
      </w:r>
      <w:r>
        <w:instrText xml:space="preserve"> HYPERLINK \l "_Toc89789306" </w:instrText>
      </w:r>
      <w:r>
        <w:fldChar w:fldCharType="separate"/>
      </w:r>
      <w:r>
        <w:rPr>
          <w:rStyle w:val="27"/>
          <w:rFonts w:hint="eastAsia"/>
        </w:rPr>
        <w:t>第四部分</w:t>
      </w:r>
      <w:r>
        <w:rPr>
          <w:rStyle w:val="27"/>
        </w:rPr>
        <w:t>  </w:t>
      </w:r>
      <w:r>
        <w:rPr>
          <w:rStyle w:val="27"/>
          <w:rFonts w:hint="eastAsia"/>
        </w:rPr>
        <w:t xml:space="preserve"> 合同条款（部分）</w:t>
      </w:r>
      <w:r>
        <w:tab/>
      </w:r>
      <w:r>
        <w:fldChar w:fldCharType="begin"/>
      </w:r>
      <w:r>
        <w:instrText xml:space="preserve"> PAGEREF _Toc89789306 \h </w:instrText>
      </w:r>
      <w:r>
        <w:fldChar w:fldCharType="separate"/>
      </w:r>
      <w:r>
        <w:t>16</w:t>
      </w:r>
      <w:r>
        <w:fldChar w:fldCharType="end"/>
      </w:r>
      <w:r>
        <w:fldChar w:fldCharType="end"/>
      </w:r>
    </w:p>
    <w:p>
      <w:pPr>
        <w:pStyle w:val="17"/>
        <w:rPr>
          <w:rFonts w:ascii="Calibri" w:eastAsia="宋体"/>
          <w:sz w:val="21"/>
          <w:szCs w:val="22"/>
        </w:rPr>
      </w:pPr>
      <w:r>
        <w:fldChar w:fldCharType="begin"/>
      </w:r>
      <w:r>
        <w:instrText xml:space="preserve"> HYPERLINK \l "_Toc89789307" </w:instrText>
      </w:r>
      <w:r>
        <w:fldChar w:fldCharType="separate"/>
      </w:r>
      <w:r>
        <w:rPr>
          <w:rStyle w:val="27"/>
          <w:rFonts w:hint="eastAsia"/>
        </w:rPr>
        <w:t>第五部分</w:t>
      </w:r>
      <w:r>
        <w:rPr>
          <w:rStyle w:val="27"/>
        </w:rPr>
        <w:t xml:space="preserve">   </w:t>
      </w:r>
      <w:r>
        <w:rPr>
          <w:rStyle w:val="27"/>
          <w:rFonts w:hint="eastAsia"/>
        </w:rPr>
        <w:t>响应文件格式</w:t>
      </w:r>
      <w:r>
        <w:tab/>
      </w:r>
      <w:r>
        <w:fldChar w:fldCharType="begin"/>
      </w:r>
      <w:r>
        <w:instrText xml:space="preserve"> PAGEREF _Toc89789307 \h </w:instrText>
      </w:r>
      <w:r>
        <w:fldChar w:fldCharType="separate"/>
      </w:r>
      <w:r>
        <w:t>25</w:t>
      </w:r>
      <w:r>
        <w:fldChar w:fldCharType="end"/>
      </w:r>
      <w:r>
        <w:fldChar w:fldCharType="end"/>
      </w:r>
    </w:p>
    <w:p>
      <w:pPr>
        <w:pStyle w:val="3"/>
        <w:rPr>
          <w:color w:val="000000"/>
          <w:sz w:val="36"/>
          <w:szCs w:val="36"/>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color w:val="000000"/>
          <w:szCs w:val="28"/>
        </w:rPr>
        <w:fldChar w:fldCharType="end"/>
      </w:r>
    </w:p>
    <w:p>
      <w:pPr>
        <w:pStyle w:val="3"/>
        <w:jc w:val="center"/>
        <w:rPr>
          <w:rFonts w:ascii="方正小标宋_GBK" w:hAnsi="方正小标宋_GBK" w:eastAsia="方正小标宋_GBK" w:cs="方正小标宋_GBK"/>
          <w:b w:val="0"/>
          <w:bCs w:val="0"/>
          <w:color w:val="000000"/>
          <w:sz w:val="36"/>
          <w:szCs w:val="36"/>
        </w:rPr>
      </w:pPr>
      <w:bookmarkStart w:id="0" w:name="_Toc89789303"/>
      <w:r>
        <w:rPr>
          <w:rFonts w:hint="eastAsia" w:ascii="方正小标宋_GBK" w:hAnsi="方正小标宋_GBK" w:eastAsia="方正小标宋_GBK" w:cs="方正小标宋_GBK"/>
          <w:b w:val="0"/>
          <w:bCs w:val="0"/>
          <w:color w:val="000000"/>
          <w:sz w:val="36"/>
          <w:szCs w:val="36"/>
        </w:rPr>
        <w:t>第一部分  竞争性谈判邀请函</w:t>
      </w:r>
      <w:bookmarkEnd w:id="0"/>
    </w:p>
    <w:p>
      <w:pPr>
        <w:adjustRightInd w:val="0"/>
        <w:snapToGrid w:val="0"/>
        <w:spacing w:line="300" w:lineRule="auto"/>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本项目已由重庆银行股份有限公司成都分行批准实施，采购人为重庆银行股份有限公司成都分行，资金来源自筹，采购预算为</w:t>
      </w:r>
      <w:r>
        <w:rPr>
          <w:rFonts w:hint="eastAsia" w:ascii="方正仿宋_GBK" w:hAnsi="宋体" w:eastAsia="方正仿宋_GBK"/>
          <w:color w:val="000000"/>
          <w:sz w:val="28"/>
          <w:szCs w:val="28"/>
          <w:u w:val="single"/>
        </w:rPr>
        <w:t>28万元（超此限价作无效报价处理）</w:t>
      </w:r>
      <w:r>
        <w:rPr>
          <w:rFonts w:hint="eastAsia" w:ascii="方正仿宋_GBK" w:hAnsi="宋体" w:eastAsia="方正仿宋_GBK"/>
          <w:color w:val="000000"/>
          <w:sz w:val="28"/>
          <w:szCs w:val="28"/>
        </w:rPr>
        <w:t>，采购资金已落实，项目已具备采购条件。现对该项目进行竞争性谈判采购，</w:t>
      </w:r>
      <w:r>
        <w:rPr>
          <w:rFonts w:hint="eastAsia" w:ascii="方正仿宋_GBK" w:hAnsi="宋体" w:eastAsia="方正仿宋_GBK"/>
          <w:sz w:val="28"/>
          <w:szCs w:val="28"/>
        </w:rPr>
        <w:t>共计两轮报价，以第二次报价为最终价格</w:t>
      </w:r>
      <w:r>
        <w:rPr>
          <w:rFonts w:hint="eastAsia" w:ascii="方正仿宋_GBK" w:hAnsi="宋体" w:eastAsia="方正仿宋_GBK"/>
          <w:color w:val="000000"/>
          <w:sz w:val="28"/>
          <w:szCs w:val="28"/>
        </w:rPr>
        <w:t>。现公开邀请贵单位参与本项目采购谈判。</w:t>
      </w:r>
    </w:p>
    <w:p>
      <w:pPr>
        <w:adjustRightInd w:val="0"/>
        <w:snapToGrid w:val="0"/>
        <w:spacing w:line="300" w:lineRule="auto"/>
        <w:ind w:firstLine="548" w:firstLineChars="196"/>
        <w:rPr>
          <w:rFonts w:ascii="黑体" w:hAnsi="黑体" w:eastAsia="黑体" w:cs="黑体"/>
          <w:bCs/>
          <w:color w:val="000000"/>
          <w:sz w:val="28"/>
          <w:szCs w:val="28"/>
        </w:rPr>
      </w:pPr>
      <w:r>
        <w:rPr>
          <w:rFonts w:hint="eastAsia" w:ascii="黑体" w:hAnsi="黑体" w:eastAsia="黑体" w:cs="黑体"/>
          <w:bCs/>
          <w:color w:val="000000"/>
          <w:sz w:val="28"/>
          <w:szCs w:val="28"/>
        </w:rPr>
        <w:t>一、采购详情</w:t>
      </w:r>
    </w:p>
    <w:p>
      <w:pPr>
        <w:adjustRightInd w:val="0"/>
        <w:snapToGrid w:val="0"/>
        <w:spacing w:line="300" w:lineRule="auto"/>
        <w:ind w:firstLine="560" w:firstLineChars="200"/>
        <w:rPr>
          <w:rFonts w:ascii="方正仿宋_GBK" w:hAnsi="宋体" w:eastAsia="方正仿宋_GBK"/>
          <w:b/>
          <w:color w:val="000000"/>
          <w:sz w:val="28"/>
          <w:szCs w:val="28"/>
        </w:rPr>
      </w:pPr>
      <w:bookmarkStart w:id="1" w:name="OLE_LINK1"/>
      <w:r>
        <w:rPr>
          <w:rFonts w:hint="eastAsia" w:ascii="方正仿宋_GBK" w:hAnsi="宋体" w:eastAsia="方正仿宋_GBK"/>
          <w:color w:val="000000"/>
          <w:sz w:val="28"/>
          <w:szCs w:val="28"/>
        </w:rPr>
        <w:t>（一）项目名称：重庆银行成都分行本部气体灭火系统采购项目。</w:t>
      </w:r>
    </w:p>
    <w:p>
      <w:pPr>
        <w:adjustRightInd w:val="0"/>
        <w:snapToGrid w:val="0"/>
        <w:spacing w:line="300" w:lineRule="auto"/>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（二）项目采购预算：28万元</w:t>
      </w:r>
    </w:p>
    <w:p>
      <w:pPr>
        <w:adjustRightInd w:val="0"/>
        <w:snapToGrid w:val="0"/>
        <w:spacing w:line="300" w:lineRule="auto"/>
        <w:ind w:firstLine="560" w:firstLineChars="200"/>
        <w:jc w:val="left"/>
        <w:rPr>
          <w:rFonts w:ascii="方正仿宋_GBK" w:hAnsi="宋体" w:eastAsia="方正仿宋_GBK"/>
          <w:color w:val="000000"/>
          <w:sz w:val="28"/>
          <w:szCs w:val="28"/>
        </w:rPr>
      </w:pPr>
      <w:r>
        <w:rPr>
          <w:rFonts w:hint="eastAsia" w:ascii="方正仿宋_GBK" w:hAnsi="宋体" w:eastAsia="方正仿宋_GBK"/>
          <w:color w:val="000000"/>
          <w:sz w:val="28"/>
          <w:szCs w:val="28"/>
        </w:rPr>
        <w:t>（三）采购项目内容及需求</w:t>
      </w:r>
    </w:p>
    <w:p>
      <w:pPr>
        <w:adjustRightInd w:val="0"/>
        <w:snapToGrid w:val="0"/>
        <w:spacing w:line="300" w:lineRule="auto"/>
        <w:ind w:firstLine="700" w:firstLineChars="250"/>
        <w:rPr>
          <w:rFonts w:ascii="方正仿宋_GBK" w:hAnsi="宋体" w:eastAsia="方正仿宋_GBK"/>
          <w:color w:val="000000"/>
          <w:sz w:val="28"/>
          <w:szCs w:val="28"/>
        </w:rPr>
      </w:pPr>
      <w:r>
        <w:rPr>
          <w:rFonts w:hint="eastAsia" w:ascii="方正仿宋_GBK" w:hAnsi="宋体" w:eastAsia="方正仿宋_GBK"/>
          <w:bCs/>
          <w:color w:val="000000"/>
          <w:sz w:val="28"/>
          <w:szCs w:val="28"/>
        </w:rPr>
        <w:t>1、</w:t>
      </w:r>
      <w:bookmarkEnd w:id="1"/>
      <w:r>
        <w:rPr>
          <w:rFonts w:hint="eastAsia" w:ascii="方正仿宋_GBK" w:hAnsi="宋体" w:eastAsia="方正仿宋_GBK"/>
          <w:color w:val="000000"/>
          <w:sz w:val="28"/>
          <w:szCs w:val="28"/>
        </w:rPr>
        <w:t>本项目包含</w:t>
      </w:r>
      <w:r>
        <w:rPr>
          <w:rFonts w:hint="eastAsia" w:ascii="方正仿宋_GBK" w:eastAsia="方正仿宋_GBK"/>
          <w:sz w:val="28"/>
          <w:szCs w:val="28"/>
        </w:rPr>
        <w:t>重庆银行</w:t>
      </w:r>
      <w:r>
        <w:rPr>
          <w:rFonts w:hint="eastAsia" w:ascii="方正仿宋_GBK" w:hAnsi="宋体" w:eastAsia="方正仿宋_GBK"/>
          <w:color w:val="000000"/>
          <w:sz w:val="28"/>
          <w:szCs w:val="28"/>
        </w:rPr>
        <w:t>成都分行</w:t>
      </w:r>
      <w:r>
        <w:rPr>
          <w:rFonts w:hint="eastAsia" w:ascii="方正仿宋_GBK" w:eastAsia="方正仿宋_GBK"/>
          <w:sz w:val="28"/>
          <w:szCs w:val="28"/>
        </w:rPr>
        <w:t>监控中心、数据机房、UPS机房、档案室等重要部位共计13套气体灭火系</w:t>
      </w:r>
      <w:r>
        <w:rPr>
          <w:rFonts w:hint="eastAsia" w:ascii="方正仿宋_GBK" w:hAnsi="宋体" w:eastAsia="方正仿宋_GBK"/>
          <w:color w:val="000000"/>
          <w:sz w:val="28"/>
          <w:szCs w:val="28"/>
        </w:rPr>
        <w:t>统的采购（含控制盘、灭火器储罐、感烟感温探测器、柜体线路、应急启动装置等）。</w:t>
      </w:r>
    </w:p>
    <w:p>
      <w:pPr>
        <w:adjustRightInd w:val="0"/>
        <w:snapToGrid w:val="0"/>
        <w:spacing w:line="300" w:lineRule="auto"/>
        <w:ind w:firstLine="700" w:firstLineChars="250"/>
        <w:rPr>
          <w:rFonts w:ascii="方正仿宋_GBK" w:hAnsi="宋体" w:eastAsia="方正仿宋_GBK"/>
          <w:bCs/>
          <w:color w:val="000000"/>
          <w:sz w:val="28"/>
          <w:szCs w:val="28"/>
        </w:rPr>
      </w:pPr>
      <w:r>
        <w:rPr>
          <w:rFonts w:hint="eastAsia" w:ascii="方正仿宋_GBK" w:hAnsi="宋体" w:eastAsia="方正仿宋_GBK"/>
          <w:bCs/>
          <w:color w:val="000000"/>
          <w:sz w:val="28"/>
          <w:szCs w:val="28"/>
        </w:rPr>
        <w:t>2、采购项目技术规格参数及要求详见第三部分《技术规范》。</w:t>
      </w:r>
    </w:p>
    <w:p>
      <w:pPr>
        <w:adjustRightInd w:val="0"/>
        <w:snapToGrid w:val="0"/>
        <w:spacing w:line="300" w:lineRule="auto"/>
        <w:ind w:firstLine="700" w:firstLineChars="250"/>
        <w:rPr>
          <w:rFonts w:ascii="方正仿宋_GBK" w:hAnsi="宋体" w:eastAsia="方正仿宋_GBK"/>
          <w:bCs/>
          <w:color w:val="000000"/>
          <w:sz w:val="28"/>
          <w:szCs w:val="28"/>
        </w:rPr>
      </w:pPr>
      <w:r>
        <w:rPr>
          <w:rFonts w:hint="eastAsia" w:ascii="方正仿宋_GBK" w:hAnsi="宋体" w:eastAsia="方正仿宋_GBK"/>
          <w:bCs/>
          <w:color w:val="000000"/>
          <w:sz w:val="28"/>
          <w:szCs w:val="28"/>
        </w:rPr>
        <w:t>3、本项目为一个整体，投标人须对全部内容进行投标，不得分拆。</w:t>
      </w:r>
    </w:p>
    <w:p>
      <w:pPr>
        <w:adjustRightInd w:val="0"/>
        <w:snapToGrid w:val="0"/>
        <w:spacing w:line="300" w:lineRule="auto"/>
        <w:ind w:firstLine="719" w:firstLineChars="257"/>
        <w:rPr>
          <w:rFonts w:ascii="方正仿宋_GBK" w:hAnsi="仿宋" w:eastAsia="方正仿宋_GBK"/>
          <w:color w:val="000000"/>
          <w:sz w:val="28"/>
          <w:szCs w:val="28"/>
        </w:rPr>
      </w:pPr>
      <w:r>
        <w:rPr>
          <w:rFonts w:hint="eastAsia" w:ascii="方正仿宋_GBK" w:hAnsi="宋体" w:eastAsia="方正仿宋_GBK"/>
          <w:color w:val="000000"/>
          <w:sz w:val="28"/>
          <w:szCs w:val="28"/>
        </w:rPr>
        <w:t>4、供货时间：自合同签订之日起30天内完成安装及验收。</w:t>
      </w:r>
    </w:p>
    <w:p>
      <w:pPr>
        <w:adjustRightInd w:val="0"/>
        <w:snapToGrid w:val="0"/>
        <w:spacing w:line="300" w:lineRule="auto"/>
        <w:ind w:firstLine="719" w:firstLineChars="257"/>
        <w:rPr>
          <w:rFonts w:ascii="方正仿宋_GBK" w:hAnsi="宋体" w:eastAsia="方正仿宋_GBK"/>
          <w:color w:val="000000"/>
          <w:sz w:val="28"/>
          <w:szCs w:val="28"/>
        </w:rPr>
      </w:pPr>
      <w:r>
        <w:rPr>
          <w:rFonts w:hint="eastAsia" w:ascii="方正仿宋_GBK" w:hAnsi="宋体" w:eastAsia="方正仿宋_GBK"/>
          <w:color w:val="000000"/>
          <w:sz w:val="28"/>
          <w:szCs w:val="28"/>
        </w:rPr>
        <w:t>5、交货/安装地点：重庆银行股份有限公司成都分行</w:t>
      </w:r>
    </w:p>
    <w:p>
      <w:pPr>
        <w:adjustRightInd w:val="0"/>
        <w:snapToGrid w:val="0"/>
        <w:spacing w:line="300" w:lineRule="auto"/>
        <w:ind w:firstLine="719" w:firstLineChars="257"/>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6、履约保证金：按中标单位投标报价的5%收取，产品质保期满后无息归还（产品质保期为安装并验收合格后2年）。</w:t>
      </w:r>
    </w:p>
    <w:p>
      <w:pPr>
        <w:adjustRightInd w:val="0"/>
        <w:snapToGrid w:val="0"/>
        <w:spacing w:line="300" w:lineRule="auto"/>
        <w:ind w:firstLine="719" w:firstLineChars="257"/>
        <w:rPr>
          <w:rFonts w:ascii="方正仿宋_GBK" w:hAnsi="宋体" w:eastAsia="方正仿宋_GBK"/>
          <w:color w:val="000000"/>
          <w:sz w:val="28"/>
          <w:szCs w:val="28"/>
        </w:rPr>
      </w:pPr>
      <w:r>
        <w:rPr>
          <w:rFonts w:hint="eastAsia" w:ascii="方正仿宋_GBK" w:hAnsi="宋体" w:eastAsia="方正仿宋_GBK"/>
          <w:color w:val="000000"/>
          <w:sz w:val="28"/>
          <w:szCs w:val="28"/>
        </w:rPr>
        <w:t>7、其他要求：</w:t>
      </w:r>
      <w:r>
        <w:rPr>
          <w:rFonts w:hint="eastAsia" w:ascii="方正仿宋_GBK" w:hAnsi="宋体" w:eastAsia="方正仿宋_GBK"/>
          <w:bCs/>
          <w:color w:val="000000"/>
          <w:sz w:val="28"/>
          <w:szCs w:val="28"/>
        </w:rPr>
        <w:t>具体详见第三部分《技术规范》。</w:t>
      </w:r>
    </w:p>
    <w:p>
      <w:pPr>
        <w:tabs>
          <w:tab w:val="left" w:pos="726"/>
        </w:tabs>
        <w:adjustRightInd w:val="0"/>
        <w:snapToGrid w:val="0"/>
        <w:spacing w:line="300" w:lineRule="auto"/>
        <w:ind w:firstLine="537" w:firstLineChars="192"/>
        <w:rPr>
          <w:rFonts w:ascii="方正仿宋_GBK" w:hAnsi="宋体" w:eastAsia="方正仿宋_GBK"/>
          <w:bCs/>
          <w:color w:val="000000"/>
          <w:sz w:val="28"/>
          <w:szCs w:val="28"/>
        </w:rPr>
      </w:pPr>
      <w:r>
        <w:rPr>
          <w:rFonts w:hint="eastAsia" w:ascii="黑体" w:hAnsi="黑体" w:eastAsia="黑体" w:cs="黑体"/>
          <w:bCs/>
          <w:color w:val="000000"/>
          <w:sz w:val="28"/>
          <w:szCs w:val="28"/>
        </w:rPr>
        <w:t>二、供应商资格条件：</w:t>
      </w:r>
      <w:r>
        <w:rPr>
          <w:rFonts w:hint="eastAsia" w:ascii="方正仿宋_GBK" w:hAnsi="宋体" w:eastAsia="方正仿宋_GBK"/>
          <w:bCs/>
          <w:color w:val="000000"/>
          <w:sz w:val="28"/>
          <w:szCs w:val="28"/>
        </w:rPr>
        <w:t>具体详见第三部分《采购须知》。</w:t>
      </w:r>
    </w:p>
    <w:p>
      <w:pPr>
        <w:tabs>
          <w:tab w:val="left" w:pos="726"/>
        </w:tabs>
        <w:adjustRightInd w:val="0"/>
        <w:snapToGrid w:val="0"/>
        <w:spacing w:line="300" w:lineRule="auto"/>
        <w:ind w:left="-422" w:leftChars="-201" w:firstLine="963" w:firstLineChars="344"/>
        <w:rPr>
          <w:rFonts w:ascii="黑体" w:hAnsi="黑体" w:eastAsia="黑体" w:cs="黑体"/>
          <w:bCs/>
          <w:color w:val="000000"/>
          <w:sz w:val="28"/>
          <w:szCs w:val="28"/>
        </w:rPr>
      </w:pPr>
      <w:r>
        <w:rPr>
          <w:rFonts w:hint="eastAsia" w:ascii="黑体" w:hAnsi="黑体" w:eastAsia="黑体" w:cs="黑体"/>
          <w:bCs/>
          <w:color w:val="000000"/>
          <w:sz w:val="28"/>
          <w:szCs w:val="28"/>
        </w:rPr>
        <w:t>三、获取谈判文件方式：</w:t>
      </w:r>
    </w:p>
    <w:p>
      <w:pPr>
        <w:adjustRightInd w:val="0"/>
        <w:snapToGrid w:val="0"/>
        <w:spacing w:line="300" w:lineRule="auto"/>
        <w:ind w:firstLine="537" w:firstLineChars="192"/>
        <w:rPr>
          <w:rFonts w:ascii="方正仿宋_GBK" w:hAnsi="宋体" w:eastAsia="方正仿宋_GBK"/>
          <w:color w:val="000000"/>
          <w:sz w:val="28"/>
          <w:szCs w:val="28"/>
        </w:rPr>
      </w:pPr>
      <w:r>
        <w:rPr>
          <w:rFonts w:hint="eastAsia" w:ascii="方正仿宋_GBK" w:hAnsi="宋体" w:eastAsia="方正仿宋_GBK"/>
          <w:color w:val="000000"/>
          <w:sz w:val="28"/>
          <w:szCs w:val="28"/>
        </w:rPr>
        <w:t>（一）获取时间：</w:t>
      </w:r>
    </w:p>
    <w:p>
      <w:pPr>
        <w:adjustRightInd w:val="0"/>
        <w:snapToGrid w:val="0"/>
        <w:spacing w:line="300" w:lineRule="auto"/>
        <w:ind w:firstLine="537" w:firstLineChars="192"/>
        <w:rPr>
          <w:rFonts w:ascii="方正仿宋_GBK" w:hAnsi="宋体" w:eastAsia="方正仿宋_GBK"/>
          <w:color w:val="000000"/>
          <w:sz w:val="28"/>
          <w:szCs w:val="28"/>
        </w:rPr>
      </w:pPr>
      <w:r>
        <w:rPr>
          <w:rFonts w:hint="eastAsia" w:ascii="方正仿宋_GBK" w:hAnsi="宋体" w:eastAsia="方正仿宋_GBK"/>
          <w:color w:val="000000"/>
          <w:sz w:val="28"/>
          <w:szCs w:val="28"/>
        </w:rPr>
        <w:fldChar w:fldCharType="begin"/>
      </w:r>
      <w:r>
        <w:rPr>
          <w:rFonts w:hint="eastAsia" w:ascii="方正仿宋_GBK" w:hAnsi="宋体" w:eastAsia="方正仿宋_GBK"/>
          <w:color w:val="000000"/>
          <w:sz w:val="28"/>
          <w:szCs w:val="28"/>
        </w:rPr>
        <w:instrText xml:space="preserve"> LINK Office12.wps.Document.8 D:\\Users\\Administrator\\Desktop\\基础信息单一服务-word版.docx OLE_LINK8 \a \t  \* MERGEFORMAT </w:instrText>
      </w:r>
      <w:r>
        <w:rPr>
          <w:rFonts w:hint="eastAsia" w:ascii="方正仿宋_GBK" w:hAnsi="宋体" w:eastAsia="方正仿宋_GBK"/>
          <w:color w:val="000000"/>
          <w:sz w:val="28"/>
          <w:szCs w:val="28"/>
        </w:rPr>
        <w:fldChar w:fldCharType="separate"/>
      </w:r>
      <w:r>
        <w:rPr>
          <w:rFonts w:hint="eastAsia" w:ascii="方正仿宋_GBK" w:hAnsi="宋体" w:eastAsia="方正仿宋_GBK"/>
          <w:color w:val="000000"/>
          <w:sz w:val="28"/>
          <w:szCs w:val="28"/>
        </w:rPr>
        <w:t>202</w:t>
      </w:r>
      <w:r>
        <w:rPr>
          <w:rFonts w:hint="eastAsia" w:ascii="方正仿宋_GBK" w:hAnsi="宋体" w:eastAsia="方正仿宋_GBK"/>
          <w:color w:val="000000"/>
          <w:sz w:val="28"/>
          <w:szCs w:val="28"/>
          <w:lang w:val="en-US" w:eastAsia="zh-CN"/>
        </w:rPr>
        <w:t>4</w:t>
      </w:r>
      <w:r>
        <w:rPr>
          <w:rFonts w:hint="eastAsia" w:ascii="方正仿宋_GBK" w:hAnsi="宋体" w:eastAsia="方正仿宋_GBK"/>
          <w:color w:val="000000"/>
          <w:sz w:val="28"/>
          <w:szCs w:val="28"/>
        </w:rPr>
        <w:t xml:space="preserve">年 </w:t>
      </w:r>
      <w:r>
        <w:rPr>
          <w:rFonts w:hint="eastAsia" w:ascii="方正仿宋_GBK" w:hAnsi="宋体" w:eastAsia="方正仿宋_GBK"/>
          <w:color w:val="000000"/>
          <w:sz w:val="28"/>
          <w:szCs w:val="28"/>
          <w:lang w:val="en-US" w:eastAsia="zh-CN"/>
        </w:rPr>
        <w:t>3</w:t>
      </w:r>
      <w:r>
        <w:rPr>
          <w:rFonts w:hint="eastAsia" w:ascii="方正仿宋_GBK" w:hAnsi="宋体" w:eastAsia="方正仿宋_GBK"/>
          <w:color w:val="000000"/>
          <w:sz w:val="28"/>
          <w:szCs w:val="28"/>
        </w:rPr>
        <w:t xml:space="preserve"> 月 </w:t>
      </w:r>
      <w:r>
        <w:rPr>
          <w:rFonts w:hint="eastAsia" w:ascii="方正仿宋_GBK" w:hAnsi="宋体" w:eastAsia="方正仿宋_GBK"/>
          <w:color w:val="000000"/>
          <w:sz w:val="28"/>
          <w:szCs w:val="28"/>
          <w:lang w:val="en-US" w:eastAsia="zh-CN"/>
        </w:rPr>
        <w:t>21</w:t>
      </w:r>
      <w:r>
        <w:rPr>
          <w:rFonts w:hint="eastAsia" w:ascii="方正仿宋_GBK" w:hAnsi="宋体" w:eastAsia="方正仿宋_GBK"/>
          <w:color w:val="000000"/>
          <w:sz w:val="28"/>
          <w:szCs w:val="28"/>
        </w:rPr>
        <w:t xml:space="preserve"> 日</w:t>
      </w:r>
      <w:r>
        <w:rPr>
          <w:rFonts w:hint="eastAsia" w:ascii="方正仿宋_GBK" w:hAnsi="宋体" w:eastAsia="方正仿宋_GBK"/>
          <w:color w:val="000000"/>
          <w:sz w:val="28"/>
          <w:szCs w:val="28"/>
        </w:rPr>
        <w:fldChar w:fldCharType="end"/>
      </w:r>
      <w:r>
        <w:rPr>
          <w:rFonts w:hint="eastAsia" w:ascii="方正仿宋_GBK" w:hAnsi="宋体" w:eastAsia="方正仿宋_GBK"/>
          <w:color w:val="000000"/>
          <w:sz w:val="28"/>
          <w:szCs w:val="28"/>
          <w:lang w:val="en-US" w:eastAsia="zh-CN"/>
        </w:rPr>
        <w:t>-3月27日</w:t>
      </w:r>
      <w:r>
        <w:rPr>
          <w:rFonts w:hint="eastAsia" w:ascii="方正仿宋_GBK" w:hAnsi="宋体" w:eastAsia="方正仿宋_GBK"/>
          <w:color w:val="000000"/>
          <w:sz w:val="28"/>
          <w:szCs w:val="28"/>
        </w:rPr>
        <w:t>。</w:t>
      </w:r>
    </w:p>
    <w:p>
      <w:pPr>
        <w:numPr>
          <w:ilvl w:val="0"/>
          <w:numId w:val="1"/>
        </w:numPr>
        <w:adjustRightInd w:val="0"/>
        <w:snapToGrid w:val="0"/>
        <w:spacing w:line="300" w:lineRule="auto"/>
        <w:ind w:firstLine="537" w:firstLineChars="192"/>
        <w:rPr>
          <w:rFonts w:hint="eastAsia" w:ascii="方正仿宋_GBK" w:hAnsi="宋体" w:eastAsia="方正仿宋_GBK"/>
          <w:color w:val="000000"/>
          <w:sz w:val="28"/>
          <w:szCs w:val="28"/>
          <w:lang w:val="en-US" w:eastAsia="zh-CN"/>
        </w:rPr>
      </w:pPr>
      <w:r>
        <w:rPr>
          <w:rFonts w:hint="eastAsia" w:ascii="方正仿宋_GBK" w:hAnsi="宋体" w:eastAsia="方正仿宋_GBK"/>
          <w:color w:val="000000"/>
          <w:sz w:val="28"/>
          <w:szCs w:val="28"/>
        </w:rPr>
        <w:t>获取</w:t>
      </w:r>
      <w:r>
        <w:rPr>
          <w:rFonts w:hint="eastAsia" w:ascii="方正仿宋_GBK" w:hAnsi="宋体" w:eastAsia="方正仿宋_GBK"/>
          <w:color w:val="000000"/>
          <w:sz w:val="28"/>
          <w:szCs w:val="28"/>
          <w:lang w:val="en-US" w:eastAsia="zh-CN"/>
        </w:rPr>
        <w:t>方式：</w:t>
      </w:r>
    </w:p>
    <w:p>
      <w:pPr>
        <w:numPr>
          <w:ilvl w:val="0"/>
          <w:numId w:val="0"/>
        </w:numPr>
        <w:adjustRightInd w:val="0"/>
        <w:snapToGrid w:val="0"/>
        <w:spacing w:line="300" w:lineRule="auto"/>
        <w:ind w:firstLine="560" w:firstLineChars="200"/>
        <w:rPr>
          <w:rFonts w:ascii="方正仿宋_GBK" w:hAnsi="宋体" w:eastAsia="方正仿宋_GBK"/>
          <w:b/>
          <w:bCs/>
          <w:color w:val="FF0000"/>
          <w:sz w:val="28"/>
          <w:szCs w:val="28"/>
        </w:rPr>
      </w:pPr>
      <w:r>
        <w:rPr>
          <w:rFonts w:hint="eastAsia" w:ascii="方正仿宋_GBK" w:hAnsi="宋体" w:eastAsia="方正仿宋_GBK"/>
          <w:color w:val="000000" w:themeColor="text1"/>
          <w:sz w:val="28"/>
          <w:szCs w:val="28"/>
          <w:lang w:val="en-US" w:eastAsia="zh-CN"/>
          <w14:textFill>
            <w14:solidFill>
              <w14:schemeClr w14:val="tx1"/>
            </w14:solidFill>
          </w14:textFill>
        </w:rPr>
        <w:t>重庆银行官网进行下载；采购人通过重庆银行官网发放竞争性谈判文件电子版，</w:t>
      </w:r>
      <w:r>
        <w:rPr>
          <w:rFonts w:hint="eastAsia" w:ascii="方正仿宋_GBK" w:hAnsi="宋体" w:eastAsia="方正仿宋_GBK"/>
          <w:b/>
          <w:bCs/>
          <w:color w:val="FF0000"/>
          <w:sz w:val="28"/>
          <w:szCs w:val="28"/>
          <w:lang w:val="en-US" w:eastAsia="zh-CN"/>
        </w:rPr>
        <w:t>请各单位下载竞争性谈判文件电子版以后以电子邮件回复报名，电子邮件内容包含参与项目名称、参与投标单位全称、联系人及联系方式。报名邮箱：chendanfan@cqcbank.com</w:t>
      </w:r>
      <w:r>
        <w:rPr>
          <w:rFonts w:hint="eastAsia" w:ascii="方正仿宋_GBK" w:hAnsi="宋体" w:eastAsia="方正仿宋_GBK"/>
          <w:b/>
          <w:bCs/>
          <w:color w:val="FF0000"/>
          <w:sz w:val="28"/>
          <w:szCs w:val="28"/>
        </w:rPr>
        <w:t>。</w:t>
      </w:r>
    </w:p>
    <w:p>
      <w:pPr>
        <w:pStyle w:val="54"/>
        <w:spacing w:line="300" w:lineRule="auto"/>
        <w:ind w:firstLine="560"/>
        <w:rPr>
          <w:rFonts w:ascii="黑体" w:hAnsi="黑体" w:eastAsia="黑体" w:cs="黑体"/>
          <w:bCs/>
          <w:color w:val="000000"/>
          <w:sz w:val="28"/>
          <w:szCs w:val="28"/>
        </w:rPr>
      </w:pPr>
      <w:r>
        <w:rPr>
          <w:rFonts w:hint="eastAsia" w:ascii="黑体" w:hAnsi="黑体" w:eastAsia="黑体" w:cs="黑体"/>
          <w:bCs/>
          <w:color w:val="000000"/>
          <w:sz w:val="28"/>
          <w:szCs w:val="28"/>
        </w:rPr>
        <w:t>四、竞争性谈判文件递交</w:t>
      </w:r>
    </w:p>
    <w:p>
      <w:pPr>
        <w:pStyle w:val="55"/>
        <w:numPr>
          <w:ilvl w:val="0"/>
          <w:numId w:val="0"/>
        </w:numPr>
        <w:ind w:left="560" w:leftChars="0"/>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pP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t>参与谈判单位须于</w:t>
      </w: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fldChar w:fldCharType="begin"/>
      </w: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instrText xml:space="preserve"> LINK Office12.wps.Document.8 D:\\Users\\Administrator\\Desktop\\基础信息单一服务-word版.docx OLE_LINK12 \a \t  \* MERGEFORMAT </w:instrText>
      </w: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fldChar w:fldCharType="separate"/>
      </w: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t>2024年 3 月27日14:00</w:t>
      </w: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fldChar w:fldCharType="end"/>
      </w: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t>时（北京时间）前</w:t>
      </w:r>
    </w:p>
    <w:p>
      <w:pPr>
        <w:pStyle w:val="55"/>
        <w:numPr>
          <w:ilvl w:val="0"/>
          <w:numId w:val="0"/>
        </w:numP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pPr>
      <w:r>
        <w:rPr>
          <w:rFonts w:hint="eastAsia" w:ascii="方正仿宋_GBK" w:hAnsi="宋体" w:eastAsia="方正仿宋_GBK" w:cs="Times New Roman"/>
          <w:color w:val="000000" w:themeColor="text1"/>
          <w:kern w:val="2"/>
          <w:sz w:val="28"/>
          <w:szCs w:val="28"/>
          <w:lang w:val="en-US" w:eastAsia="zh-CN" w:bidi="ar-SA"/>
          <w14:textFill>
            <w14:solidFill>
              <w14:schemeClr w14:val="tx1"/>
            </w14:solidFill>
          </w14:textFill>
        </w:rPr>
        <w:t>递交竞争性谈判响应文件。竞争性谈判响应文件正本一份，副本一份。</w:t>
      </w:r>
    </w:p>
    <w:p>
      <w:pPr>
        <w:pStyle w:val="54"/>
        <w:spacing w:line="300" w:lineRule="auto"/>
        <w:ind w:firstLine="56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五、谈判时间与地点：</w:t>
      </w:r>
    </w:p>
    <w:p>
      <w:pPr>
        <w:pStyle w:val="54"/>
        <w:spacing w:line="300" w:lineRule="auto"/>
        <w:ind w:firstLine="0" w:firstLineChars="0"/>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（一）谈判开始时间：</w:t>
      </w:r>
    </w:p>
    <w:p>
      <w:pPr>
        <w:pStyle w:val="54"/>
        <w:spacing w:line="300" w:lineRule="auto"/>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OLE_LINK13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202</w:t>
      </w:r>
      <w:r>
        <w:rPr>
          <w:rFonts w:hint="eastAsia" w:ascii="方正仿宋_GBK" w:hAnsi="宋体" w:eastAsia="方正仿宋_GBK"/>
          <w:color w:val="000000" w:themeColor="text1"/>
          <w:sz w:val="28"/>
          <w:szCs w:val="28"/>
          <w:lang w:val="en-US" w:eastAsia="zh-CN"/>
          <w14:textFill>
            <w14:solidFill>
              <w14:schemeClr w14:val="tx1"/>
            </w14:solidFill>
          </w14:textFill>
        </w:rPr>
        <w:t>4</w:t>
      </w:r>
      <w:r>
        <w:rPr>
          <w:rFonts w:hint="eastAsia" w:ascii="方正仿宋_GBK" w:hAnsi="宋体" w:eastAsia="方正仿宋_GBK"/>
          <w:color w:val="000000" w:themeColor="text1"/>
          <w:sz w:val="28"/>
          <w:szCs w:val="28"/>
          <w14:textFill>
            <w14:solidFill>
              <w14:schemeClr w14:val="tx1"/>
            </w14:solidFill>
          </w14:textFill>
        </w:rPr>
        <w:t xml:space="preserve">年 </w:t>
      </w:r>
      <w:r>
        <w:rPr>
          <w:rFonts w:hint="eastAsia" w:ascii="方正仿宋_GBK" w:hAnsi="宋体" w:eastAsia="方正仿宋_GBK"/>
          <w:color w:val="000000" w:themeColor="text1"/>
          <w:sz w:val="28"/>
          <w:szCs w:val="28"/>
          <w:lang w:val="en-US" w:eastAsia="zh-CN"/>
          <w14:textFill>
            <w14:solidFill>
              <w14:schemeClr w14:val="tx1"/>
            </w14:solidFill>
          </w14:textFill>
        </w:rPr>
        <w:t>3</w:t>
      </w:r>
      <w:r>
        <w:rPr>
          <w:rFonts w:hint="eastAsia" w:ascii="方正仿宋_GBK" w:hAnsi="宋体" w:eastAsia="方正仿宋_GBK"/>
          <w:color w:val="000000" w:themeColor="text1"/>
          <w:sz w:val="28"/>
          <w:szCs w:val="28"/>
          <w14:textFill>
            <w14:solidFill>
              <w14:schemeClr w14:val="tx1"/>
            </w14:solidFill>
          </w14:textFill>
        </w:rPr>
        <w:t xml:space="preserve"> 月 </w:t>
      </w:r>
      <w:r>
        <w:rPr>
          <w:rFonts w:hint="eastAsia" w:ascii="方正仿宋_GBK" w:hAnsi="宋体" w:eastAsia="方正仿宋_GBK"/>
          <w:color w:val="000000" w:themeColor="text1"/>
          <w:sz w:val="28"/>
          <w:szCs w:val="28"/>
          <w:lang w:val="en-US" w:eastAsia="zh-CN"/>
          <w14:textFill>
            <w14:solidFill>
              <w14:schemeClr w14:val="tx1"/>
            </w14:solidFill>
          </w14:textFill>
        </w:rPr>
        <w:t>27</w:t>
      </w:r>
      <w:r>
        <w:rPr>
          <w:rFonts w:hint="eastAsia" w:ascii="方正仿宋_GBK" w:hAnsi="宋体" w:eastAsia="方正仿宋_GBK"/>
          <w:color w:val="000000" w:themeColor="text1"/>
          <w:sz w:val="28"/>
          <w:szCs w:val="28"/>
          <w14:textFill>
            <w14:solidFill>
              <w14:schemeClr w14:val="tx1"/>
            </w14:solidFill>
          </w14:textFill>
        </w:rPr>
        <w:t xml:space="preserve"> 日</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lang w:val="en-US" w:eastAsia="zh-CN"/>
          <w14:textFill>
            <w14:solidFill>
              <w14:schemeClr w14:val="tx1"/>
            </w14:solidFill>
          </w14:textFill>
        </w:rPr>
        <w:t>14:30</w:t>
      </w:r>
      <w:r>
        <w:rPr>
          <w:rFonts w:hint="eastAsia" w:ascii="方正仿宋_GBK" w:hAnsi="宋体" w:eastAsia="方正仿宋_GBK"/>
          <w:color w:val="000000" w:themeColor="text1"/>
          <w:sz w:val="28"/>
          <w:szCs w:val="28"/>
          <w14:textFill>
            <w14:solidFill>
              <w14:schemeClr w14:val="tx1"/>
            </w14:solidFill>
          </w14:textFill>
        </w:rPr>
        <w:t xml:space="preserve"> 时（北京时间）。</w:t>
      </w:r>
    </w:p>
    <w:p>
      <w:pPr>
        <w:pStyle w:val="54"/>
        <w:spacing w:line="300" w:lineRule="auto"/>
        <w:ind w:firstLine="0" w:firstLineChars="0"/>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（二）谈判地点：</w:t>
      </w:r>
    </w:p>
    <w:p>
      <w:pPr>
        <w:pStyle w:val="54"/>
        <w:spacing w:line="300" w:lineRule="auto"/>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成都市高新区天府二街99号30楼重庆银行成都分行   </w:t>
      </w:r>
    </w:p>
    <w:p>
      <w:pPr>
        <w:pStyle w:val="54"/>
        <w:spacing w:line="300" w:lineRule="auto"/>
        <w:ind w:firstLine="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六、联系方式</w:t>
      </w:r>
    </w:p>
    <w:p>
      <w:pPr>
        <w:pStyle w:val="54"/>
        <w:spacing w:line="300" w:lineRule="auto"/>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采购人：重庆银行股份有限公司成都分行</w:t>
      </w:r>
    </w:p>
    <w:p>
      <w:pPr>
        <w:pStyle w:val="54"/>
        <w:spacing w:line="300" w:lineRule="auto"/>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地址：成都市高新区天府二街99号新天府金融大厦A座</w:t>
      </w:r>
    </w:p>
    <w:p>
      <w:pPr>
        <w:pStyle w:val="54"/>
        <w:spacing w:line="300" w:lineRule="auto"/>
        <w:ind w:firstLine="0" w:firstLineChars="0"/>
        <w:rPr>
          <w:rFonts w:hint="eastAsia" w:ascii="方正仿宋_GBK" w:hAnsi="宋体" w:eastAsia="方正仿宋_GBK"/>
          <w:sz w:val="28"/>
          <w:szCs w:val="28"/>
          <w:lang w:val="en-US" w:eastAsia="zh-CN"/>
        </w:rPr>
      </w:pPr>
      <w:r>
        <w:rPr>
          <w:rFonts w:hint="eastAsia" w:ascii="方正仿宋_GBK" w:hAnsi="宋体" w:eastAsia="方正仿宋_GBK"/>
          <w:sz w:val="28"/>
          <w:szCs w:val="28"/>
        </w:rPr>
        <w:t xml:space="preserve">    联系人： </w:t>
      </w:r>
      <w:r>
        <w:rPr>
          <w:rFonts w:hint="eastAsia" w:ascii="方正仿宋_GBK" w:hAnsi="宋体" w:eastAsia="方正仿宋_GBK"/>
          <w:sz w:val="28"/>
          <w:szCs w:val="28"/>
          <w:lang w:val="en-US" w:eastAsia="zh-CN"/>
        </w:rPr>
        <w:t>陈女士</w:t>
      </w:r>
    </w:p>
    <w:p>
      <w:pPr>
        <w:pStyle w:val="54"/>
        <w:spacing w:line="300" w:lineRule="auto"/>
        <w:ind w:firstLine="0" w:firstLineChars="0"/>
        <w:rPr>
          <w:rFonts w:hint="default" w:ascii="方正仿宋_GBK" w:hAnsi="宋体" w:eastAsia="方正仿宋_GBK"/>
          <w:sz w:val="28"/>
          <w:szCs w:val="28"/>
          <w:lang w:val="en-US" w:eastAsia="zh-CN"/>
        </w:rPr>
      </w:pPr>
      <w:r>
        <w:rPr>
          <w:rFonts w:hint="eastAsia" w:ascii="方正仿宋_GBK" w:hAnsi="宋体" w:eastAsia="方正仿宋_GBK"/>
          <w:sz w:val="28"/>
          <w:szCs w:val="28"/>
        </w:rPr>
        <w:t xml:space="preserve">    联系电话：</w:t>
      </w:r>
      <w:r>
        <w:rPr>
          <w:rFonts w:hint="eastAsia" w:ascii="方正仿宋_GBK" w:hAnsi="宋体" w:eastAsia="方正仿宋_GBK"/>
          <w:sz w:val="28"/>
          <w:szCs w:val="28"/>
          <w:lang w:val="en-US" w:eastAsia="zh-CN"/>
        </w:rPr>
        <w:t>028-85283582</w:t>
      </w:r>
    </w:p>
    <w:p>
      <w:pPr>
        <w:widowControl/>
        <w:jc w:val="left"/>
        <w:rPr>
          <w:color w:val="000000"/>
          <w:szCs w:val="21"/>
        </w:rPr>
      </w:pPr>
      <w:r>
        <w:rPr>
          <w:color w:val="000000"/>
          <w:szCs w:val="21"/>
        </w:rPr>
        <w:br w:type="page"/>
      </w:r>
    </w:p>
    <w:p>
      <w:pPr>
        <w:pStyle w:val="3"/>
        <w:adjustRightInd w:val="0"/>
        <w:snapToGrid w:val="0"/>
        <w:spacing w:before="0" w:after="0" w:line="300" w:lineRule="auto"/>
        <w:jc w:val="center"/>
        <w:rPr>
          <w:color w:val="000000"/>
          <w:sz w:val="36"/>
          <w:szCs w:val="36"/>
        </w:rPr>
      </w:pPr>
      <w:bookmarkStart w:id="2" w:name="_Toc89789304"/>
      <w:r>
        <w:rPr>
          <w:rFonts w:hint="eastAsia" w:ascii="方正小标宋_GBK" w:hAnsi="方正小标宋_GBK" w:eastAsia="方正小标宋_GBK" w:cs="方正小标宋_GBK"/>
          <w:b w:val="0"/>
          <w:bCs w:val="0"/>
          <w:color w:val="000000"/>
          <w:sz w:val="36"/>
          <w:szCs w:val="36"/>
        </w:rPr>
        <w:t>第二部分   采购须知</w:t>
      </w:r>
      <w:bookmarkEnd w:id="2"/>
    </w:p>
    <w:p>
      <w:p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p>
    <w:p>
      <w:p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一、项目名称</w:t>
      </w:r>
    </w:p>
    <w:p>
      <w:pPr>
        <w:adjustRightInd w:val="0"/>
        <w:snapToGrid w:val="0"/>
        <w:spacing w:line="500" w:lineRule="exact"/>
        <w:ind w:firstLine="537" w:firstLineChars="192"/>
        <w:rPr>
          <w:rFonts w:ascii="方正仿宋_GBK" w:hAnsi="宋体" w:eastAsia="方正仿宋_GBK"/>
          <w:color w:val="000000"/>
          <w:sz w:val="28"/>
          <w:szCs w:val="28"/>
        </w:rPr>
      </w:pPr>
      <w:r>
        <w:rPr>
          <w:rFonts w:hint="eastAsia" w:ascii="方正仿宋_GBK" w:hAnsi="宋体" w:eastAsia="方正仿宋_GBK"/>
          <w:color w:val="000000"/>
          <w:sz w:val="28"/>
          <w:szCs w:val="28"/>
        </w:rPr>
        <w:t>重庆银行成都分行本部气体灭火系统采购项目</w:t>
      </w:r>
    </w:p>
    <w:p>
      <w:p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二、供应商资格要求：</w:t>
      </w:r>
    </w:p>
    <w:p>
      <w:pPr>
        <w:numPr>
          <w:ilvl w:val="0"/>
          <w:numId w:val="2"/>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须在成都市行政区域内拥有常设实体机构提供相应证明材料（营业执照、房产证或房屋租赁合同）复印件并加盖鲜章，原件备查。</w:t>
      </w:r>
    </w:p>
    <w:p>
      <w:pPr>
        <w:numPr>
          <w:ilvl w:val="0"/>
          <w:numId w:val="2"/>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须具备独立法人资格，有效的营业执照，提供复印件并加盖鲜章，原件备查。</w:t>
      </w:r>
    </w:p>
    <w:p>
      <w:pPr>
        <w:numPr>
          <w:ilvl w:val="0"/>
          <w:numId w:val="2"/>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须同时具备有效期内的以下资质：①消防设施工程专业承包壹级资质；②消防设施工程设计专项甲级资质。</w:t>
      </w:r>
      <w:r>
        <w:rPr>
          <w:rFonts w:hint="eastAsia" w:ascii="方正仿宋_GBK" w:hAnsi="宋体" w:eastAsia="方正仿宋_GBK"/>
          <w:color w:val="000000"/>
          <w:sz w:val="28"/>
          <w:szCs w:val="28"/>
          <w:lang w:val="ru"/>
        </w:rPr>
        <w:t>提供有效的资质证书复印件并加盖</w:t>
      </w:r>
      <w:r>
        <w:rPr>
          <w:rFonts w:hint="eastAsia" w:ascii="方正仿宋_GBK" w:hAnsi="宋体" w:eastAsia="方正仿宋_GBK"/>
          <w:color w:val="000000"/>
          <w:sz w:val="28"/>
          <w:szCs w:val="28"/>
        </w:rPr>
        <w:t>鲜</w:t>
      </w:r>
      <w:r>
        <w:rPr>
          <w:rFonts w:hint="eastAsia" w:ascii="方正仿宋_GBK" w:hAnsi="宋体" w:eastAsia="方正仿宋_GBK"/>
          <w:color w:val="000000"/>
          <w:sz w:val="28"/>
          <w:szCs w:val="28"/>
          <w:lang w:val="ru"/>
        </w:rPr>
        <w:t>章</w:t>
      </w:r>
      <w:r>
        <w:rPr>
          <w:rFonts w:hint="eastAsia" w:ascii="方正仿宋_GBK" w:hAnsi="宋体" w:eastAsia="方正仿宋_GBK"/>
          <w:color w:val="000000"/>
          <w:sz w:val="28"/>
          <w:szCs w:val="28"/>
        </w:rPr>
        <w:t>，原件备查。</w:t>
      </w:r>
    </w:p>
    <w:p>
      <w:pPr>
        <w:numPr>
          <w:ilvl w:val="0"/>
          <w:numId w:val="2"/>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须具备建设行政主管部门颁发的有效期内的建筑施工企业安全生产许可证，</w:t>
      </w:r>
      <w:r>
        <w:rPr>
          <w:rFonts w:hint="eastAsia" w:ascii="方正仿宋_GBK" w:hAnsi="宋体" w:eastAsia="方正仿宋_GBK"/>
          <w:color w:val="000000"/>
          <w:sz w:val="28"/>
          <w:szCs w:val="28"/>
          <w:lang w:val="ru"/>
        </w:rPr>
        <w:t>提供有效的资质证书复印件并加盖</w:t>
      </w:r>
      <w:r>
        <w:rPr>
          <w:rFonts w:hint="eastAsia" w:ascii="方正仿宋_GBK" w:hAnsi="宋体" w:eastAsia="方正仿宋_GBK"/>
          <w:color w:val="000000"/>
          <w:sz w:val="28"/>
          <w:szCs w:val="28"/>
        </w:rPr>
        <w:t>鲜</w:t>
      </w:r>
      <w:r>
        <w:rPr>
          <w:rFonts w:hint="eastAsia" w:ascii="方正仿宋_GBK" w:hAnsi="宋体" w:eastAsia="方正仿宋_GBK"/>
          <w:color w:val="000000"/>
          <w:sz w:val="28"/>
          <w:szCs w:val="28"/>
          <w:lang w:val="ru"/>
        </w:rPr>
        <w:t>章</w:t>
      </w:r>
      <w:r>
        <w:rPr>
          <w:rFonts w:hint="eastAsia" w:ascii="方正仿宋_GBK" w:hAnsi="宋体" w:eastAsia="方正仿宋_GBK"/>
          <w:color w:val="000000"/>
          <w:sz w:val="28"/>
          <w:szCs w:val="28"/>
        </w:rPr>
        <w:t>，原件备查。</w:t>
      </w:r>
    </w:p>
    <w:p>
      <w:pPr>
        <w:numPr>
          <w:ilvl w:val="0"/>
          <w:numId w:val="2"/>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须承诺为本项目所配置的项目负责人具备一级消防工程师执业证书、中级或以上安全工程师执业证书，提供承诺函原件和</w:t>
      </w:r>
      <w:r>
        <w:rPr>
          <w:rFonts w:hint="eastAsia" w:ascii="方正仿宋_GBK" w:hAnsi="宋体" w:eastAsia="方正仿宋_GBK"/>
          <w:color w:val="000000"/>
          <w:sz w:val="28"/>
          <w:szCs w:val="28"/>
          <w:lang w:val="ru"/>
        </w:rPr>
        <w:t>有效的资质证书复印件并加盖投标单位</w:t>
      </w:r>
      <w:r>
        <w:rPr>
          <w:rFonts w:hint="eastAsia" w:ascii="方正仿宋_GBK" w:hAnsi="宋体" w:eastAsia="方正仿宋_GBK"/>
          <w:color w:val="000000"/>
          <w:sz w:val="28"/>
          <w:szCs w:val="28"/>
        </w:rPr>
        <w:t>鲜</w:t>
      </w:r>
      <w:r>
        <w:rPr>
          <w:rFonts w:hint="eastAsia" w:ascii="方正仿宋_GBK" w:hAnsi="宋体" w:eastAsia="方正仿宋_GBK"/>
          <w:color w:val="000000"/>
          <w:sz w:val="28"/>
          <w:szCs w:val="28"/>
          <w:lang w:val="ru"/>
        </w:rPr>
        <w:t>公章。</w:t>
      </w:r>
    </w:p>
    <w:p>
      <w:pPr>
        <w:numPr>
          <w:ilvl w:val="0"/>
          <w:numId w:val="2"/>
        </w:numPr>
        <w:adjustRightInd w:val="0"/>
        <w:snapToGrid w:val="0"/>
        <w:spacing w:line="500" w:lineRule="exact"/>
        <w:ind w:firstLine="560" w:firstLineChars="200"/>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投标人未被“信用中国”网站列入失信被执行人和重大税收违法案件当事人名单。</w:t>
      </w:r>
    </w:p>
    <w:p>
      <w:pPr>
        <w:numPr>
          <w:ilvl w:val="0"/>
          <w:numId w:val="0"/>
        </w:numPr>
        <w:adjustRightInd w:val="0"/>
        <w:snapToGrid w:val="0"/>
        <w:spacing w:line="500" w:lineRule="exact"/>
        <w:ind w:firstLine="560" w:firstLineChars="200"/>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注：提供“信用中国”http://www.creditchina.gov.cn 网站查询结果。</w:t>
      </w:r>
    </w:p>
    <w:p>
      <w:pPr>
        <w:numPr>
          <w:ilvl w:val="0"/>
          <w:numId w:val="0"/>
        </w:numPr>
        <w:adjustRightInd w:val="0"/>
        <w:snapToGrid w:val="0"/>
        <w:spacing w:line="500" w:lineRule="exact"/>
        <w:ind w:firstLine="560" w:firstLineChars="200"/>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查询方式：进入信用中国网站http://www.creditchina.gov.cn，右上角查询框中输入企业名字查询，在查询结果中找到对应企业，下载信用信息报告。</w:t>
      </w:r>
    </w:p>
    <w:p>
      <w:pPr>
        <w:numPr>
          <w:ilvl w:val="0"/>
          <w:numId w:val="0"/>
        </w:numPr>
        <w:adjustRightInd w:val="0"/>
        <w:snapToGrid w:val="0"/>
        <w:spacing w:line="500" w:lineRule="exact"/>
        <w:ind w:firstLine="560" w:firstLineChars="200"/>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提示：下载的信息信用信息报告 为PDF格式，名称为“法人和非法人组织公共信用信息报告”，右上角有二维码校验码。</w:t>
      </w:r>
    </w:p>
    <w:p>
      <w:pPr>
        <w:numPr>
          <w:ilvl w:val="0"/>
          <w:numId w:val="0"/>
        </w:numPr>
        <w:adjustRightInd w:val="0"/>
        <w:snapToGrid w:val="0"/>
        <w:spacing w:line="500" w:lineRule="exact"/>
        <w:ind w:firstLine="560" w:firstLineChars="200"/>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查询生成时间 ：应当为本招标文件发出之日至投标截止日之间任意一天。</w:t>
      </w:r>
    </w:p>
    <w:p>
      <w:pPr>
        <w:numPr>
          <w:ilvl w:val="0"/>
          <w:numId w:val="0"/>
        </w:numPr>
        <w:adjustRightInd w:val="0"/>
        <w:snapToGrid w:val="0"/>
        <w:spacing w:line="500" w:lineRule="exact"/>
        <w:ind w:firstLine="560" w:firstLineChars="200"/>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递交方式：将信用信息报告装订入投标文件中。</w:t>
      </w:r>
    </w:p>
    <w:p>
      <w:pPr>
        <w:numPr>
          <w:ilvl w:val="0"/>
          <w:numId w:val="0"/>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lang w:eastAsia="zh-CN"/>
        </w:rPr>
        <w:t>（</w:t>
      </w:r>
      <w:r>
        <w:rPr>
          <w:rFonts w:hint="eastAsia" w:ascii="方正仿宋_GBK" w:hAnsi="宋体" w:eastAsia="方正仿宋_GBK"/>
          <w:color w:val="000000"/>
          <w:sz w:val="28"/>
          <w:szCs w:val="28"/>
          <w:lang w:val="en-US" w:eastAsia="zh-CN"/>
        </w:rPr>
        <w:t>七</w:t>
      </w:r>
      <w:r>
        <w:rPr>
          <w:rFonts w:hint="eastAsia" w:ascii="方正仿宋_GBK" w:hAnsi="宋体" w:eastAsia="方正仿宋_GBK"/>
          <w:color w:val="000000"/>
          <w:sz w:val="28"/>
          <w:szCs w:val="28"/>
          <w:lang w:eastAsia="zh-CN"/>
        </w:rPr>
        <w:t>）</w:t>
      </w:r>
      <w:r>
        <w:rPr>
          <w:rFonts w:hint="eastAsia" w:ascii="方正仿宋_GBK" w:hAnsi="宋体" w:eastAsia="方正仿宋_GBK"/>
          <w:color w:val="000000"/>
          <w:sz w:val="28"/>
          <w:szCs w:val="28"/>
        </w:rPr>
        <w:t>投标人与我行之间无直接利益关联关系，投标人之间也无关联关系（提供承诺函原件并加盖鲜章）。</w:t>
      </w:r>
    </w:p>
    <w:p>
      <w:pPr>
        <w:numPr>
          <w:ilvl w:val="0"/>
          <w:numId w:val="3"/>
        </w:numPr>
        <w:tabs>
          <w:tab w:val="left" w:pos="540"/>
          <w:tab w:val="left" w:pos="720"/>
        </w:tabs>
        <w:adjustRightInd w:val="0"/>
        <w:snapToGrid w:val="0"/>
        <w:spacing w:line="500" w:lineRule="exact"/>
        <w:ind w:firstLine="560" w:firstLineChars="200"/>
        <w:rPr>
          <w:rFonts w:ascii="方正仿宋_GBK" w:hAnsi="宋体" w:eastAsia="方正仿宋_GBK"/>
          <w:bCs/>
          <w:color w:val="000000"/>
          <w:sz w:val="28"/>
          <w:szCs w:val="28"/>
        </w:rPr>
      </w:pPr>
      <w:r>
        <w:rPr>
          <w:rFonts w:hint="eastAsia" w:ascii="黑体" w:hAnsi="黑体" w:eastAsia="黑体" w:cs="黑体"/>
          <w:bCs/>
          <w:color w:val="000000"/>
          <w:sz w:val="28"/>
          <w:szCs w:val="28"/>
        </w:rPr>
        <w:t>采购内容：</w:t>
      </w:r>
      <w:r>
        <w:rPr>
          <w:rFonts w:hint="eastAsia" w:ascii="方正仿宋_GBK" w:hAnsi="宋体" w:eastAsia="方正仿宋_GBK"/>
          <w:bCs/>
          <w:color w:val="000000"/>
          <w:sz w:val="28"/>
          <w:szCs w:val="28"/>
        </w:rPr>
        <w:t>详见第三部分《技术规范》。</w:t>
      </w:r>
    </w:p>
    <w:p>
      <w:pPr>
        <w:numPr>
          <w:ilvl w:val="0"/>
          <w:numId w:val="3"/>
        </w:num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黑体" w:hAnsi="黑体" w:eastAsia="黑体" w:cs="黑体"/>
          <w:bCs/>
          <w:color w:val="000000"/>
          <w:sz w:val="28"/>
          <w:szCs w:val="28"/>
        </w:rPr>
        <w:t>服务要求：</w:t>
      </w:r>
      <w:r>
        <w:rPr>
          <w:rFonts w:hint="eastAsia" w:ascii="方正仿宋_GBK" w:hAnsi="宋体" w:eastAsia="方正仿宋_GBK"/>
          <w:bCs/>
          <w:color w:val="000000"/>
          <w:sz w:val="28"/>
          <w:szCs w:val="28"/>
        </w:rPr>
        <w:t>详见第三部分《技术规范》。</w:t>
      </w:r>
    </w:p>
    <w:p>
      <w:pPr>
        <w:numPr>
          <w:ilvl w:val="0"/>
          <w:numId w:val="3"/>
        </w:num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黑体" w:hAnsi="黑体" w:eastAsia="黑体" w:cs="黑体"/>
          <w:bCs/>
          <w:color w:val="000000"/>
          <w:sz w:val="28"/>
          <w:szCs w:val="28"/>
        </w:rPr>
        <w:t>竞争性谈判采购文件的澄清和修改</w:t>
      </w:r>
    </w:p>
    <w:p>
      <w:pPr>
        <w:numPr>
          <w:ilvl w:val="0"/>
          <w:numId w:val="4"/>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供应商应仔细阅读和检查采购文件的全部内容。如发现缺页或附件不全，应及时向采购人提出，以便补齐。如有疑问，应在领取本采购文件之日起3日内以书面形式（包括书面文字、传真等）向采购人提出。采购人或采购代理机构可视具体情况做出处理或答复。如供应商未提出疑问，视为完全理解并同意本采购文件。一经进入协商程序，即视为供应商已详细阅读全部文件资料，完全理解本采购文件所有条款内容并同意放弃对本文件条款不明及误解的权利。</w:t>
      </w:r>
    </w:p>
    <w:p>
      <w:pPr>
        <w:numPr>
          <w:ilvl w:val="0"/>
          <w:numId w:val="4"/>
        </w:num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采购人对采购文件如有澄清或修改，将以书面形式通知所有参与谈判的供应商，修改内容将作为采购文件的组成部分。</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竞争性谈判采购的响应文件</w:t>
      </w:r>
    </w:p>
    <w:p>
      <w:pPr>
        <w:adjustRightInd w:val="0"/>
        <w:snapToGrid w:val="0"/>
        <w:spacing w:line="500" w:lineRule="exact"/>
        <w:ind w:firstLine="537" w:firstLineChars="192"/>
        <w:rPr>
          <w:rFonts w:ascii="方正仿宋_GBK" w:hAnsi="宋体" w:eastAsia="方正仿宋_GBK"/>
          <w:color w:val="000000"/>
          <w:sz w:val="28"/>
          <w:szCs w:val="28"/>
        </w:rPr>
      </w:pPr>
      <w:r>
        <w:rPr>
          <w:rFonts w:hint="eastAsia" w:ascii="方正仿宋_GBK" w:hAnsi="宋体" w:eastAsia="方正仿宋_GBK"/>
          <w:color w:val="000000"/>
          <w:sz w:val="28"/>
          <w:szCs w:val="28"/>
        </w:rPr>
        <w:t>供应商应当按照以下要求编制竞争性谈判采购响应文件，并对采购文件提出的要求和条件做出实质性响应。</w:t>
      </w:r>
    </w:p>
    <w:p>
      <w:pPr>
        <w:adjustRightInd w:val="0"/>
        <w:snapToGrid w:val="0"/>
        <w:spacing w:line="500" w:lineRule="exact"/>
        <w:ind w:firstLine="537" w:firstLineChars="192"/>
        <w:rPr>
          <w:rFonts w:ascii="方正仿宋_GBK" w:hAnsi="宋体" w:eastAsia="方正仿宋_GBK"/>
          <w:color w:val="000000"/>
          <w:sz w:val="28"/>
          <w:szCs w:val="28"/>
        </w:rPr>
      </w:pPr>
      <w:r>
        <w:rPr>
          <w:rFonts w:hint="eastAsia" w:ascii="方正仿宋_GBK" w:hAnsi="宋体" w:eastAsia="方正仿宋_GBK"/>
          <w:color w:val="000000"/>
          <w:sz w:val="28"/>
          <w:szCs w:val="28"/>
        </w:rPr>
        <w:t>响应文件由以下部分和供应商所作的一切有效补充、修改和承诺等文件组成，供应商应按照本文件第五部分“响应文件格式”规定的目录顺序组织编写和装订。</w:t>
      </w:r>
    </w:p>
    <w:p>
      <w:pPr>
        <w:numPr>
          <w:ilvl w:val="1"/>
          <w:numId w:val="5"/>
        </w:numPr>
        <w:adjustRightInd w:val="0"/>
        <w:snapToGrid w:val="0"/>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响应函</w:t>
      </w:r>
    </w:p>
    <w:p>
      <w:pPr>
        <w:numPr>
          <w:ilvl w:val="1"/>
          <w:numId w:val="5"/>
        </w:numPr>
        <w:adjustRightInd w:val="0"/>
        <w:snapToGrid w:val="0"/>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报价明细表</w:t>
      </w:r>
    </w:p>
    <w:p>
      <w:pPr>
        <w:numPr>
          <w:ilvl w:val="1"/>
          <w:numId w:val="5"/>
        </w:numPr>
        <w:adjustRightInd w:val="0"/>
        <w:snapToGrid w:val="0"/>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法人营业执照复印件（加盖公章）</w:t>
      </w:r>
    </w:p>
    <w:p>
      <w:pPr>
        <w:numPr>
          <w:ilvl w:val="1"/>
          <w:numId w:val="5"/>
        </w:numPr>
        <w:adjustRightInd w:val="0"/>
        <w:snapToGrid w:val="0"/>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法定代表人授权委托书（原件）</w:t>
      </w:r>
    </w:p>
    <w:p>
      <w:pPr>
        <w:numPr>
          <w:ilvl w:val="1"/>
          <w:numId w:val="5"/>
        </w:numPr>
        <w:adjustRightInd w:val="0"/>
        <w:snapToGrid w:val="0"/>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技术/商务偏离表</w:t>
      </w:r>
    </w:p>
    <w:p>
      <w:pPr>
        <w:numPr>
          <w:ilvl w:val="1"/>
          <w:numId w:val="5"/>
        </w:numPr>
        <w:adjustRightInd w:val="0"/>
        <w:snapToGrid w:val="0"/>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供应商的其他资料或承诺（如果有）</w:t>
      </w:r>
    </w:p>
    <w:p>
      <w:pPr>
        <w:numPr>
          <w:ilvl w:val="1"/>
          <w:numId w:val="5"/>
        </w:numPr>
        <w:adjustRightInd w:val="0"/>
        <w:snapToGrid w:val="0"/>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电子文档（包含全套盖章响应资料的U盘</w:t>
      </w:r>
      <w:r>
        <w:rPr>
          <w:rFonts w:hint="eastAsia" w:ascii="方正仿宋_GBK" w:hAnsi="宋体" w:eastAsia="方正仿宋_GBK"/>
          <w:b/>
          <w:color w:val="000000"/>
          <w:sz w:val="28"/>
          <w:szCs w:val="28"/>
          <w:u w:val="single"/>
        </w:rPr>
        <w:t>1份</w:t>
      </w:r>
      <w:r>
        <w:rPr>
          <w:rFonts w:hint="eastAsia" w:ascii="方正仿宋_GBK" w:hAnsi="宋体" w:eastAsia="方正仿宋_GBK"/>
          <w:color w:val="000000"/>
          <w:sz w:val="28"/>
          <w:szCs w:val="28"/>
        </w:rPr>
        <w:t>，采用U盘作为载体，格式为PDF文档，电子版文件仅作存档使用，不作为评审依据；电子版盖章响应文件应与纸质版响应文件一致，当电子介质的响应文件与纸质响应文件不一致时，以纸质响应文件为准）。</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竞争性谈判采购的响应文件的数量、签署及装订要求</w:t>
      </w:r>
    </w:p>
    <w:p>
      <w:pPr>
        <w:adjustRightInd w:val="0"/>
        <w:snapToGrid w:val="0"/>
        <w:spacing w:line="500" w:lineRule="exact"/>
        <w:ind w:firstLine="562" w:firstLineChars="200"/>
        <w:rPr>
          <w:rFonts w:ascii="方正仿宋_GBK" w:hAnsi="宋体" w:eastAsia="方正仿宋_GBK"/>
          <w:color w:val="000000"/>
          <w:sz w:val="28"/>
          <w:szCs w:val="28"/>
        </w:rPr>
      </w:pPr>
      <w:r>
        <w:rPr>
          <w:rFonts w:hint="eastAsia" w:ascii="方正仿宋_GBK" w:hAnsi="宋体" w:eastAsia="方正仿宋_GBK"/>
          <w:b/>
          <w:color w:val="000000"/>
          <w:sz w:val="28"/>
          <w:szCs w:val="28"/>
          <w:u w:val="single"/>
        </w:rPr>
        <w:t>响应文件一式贰份，一正一副。</w:t>
      </w:r>
      <w:r>
        <w:rPr>
          <w:rFonts w:hint="eastAsia" w:ascii="方正仿宋_GBK" w:hAnsi="宋体" w:eastAsia="方正仿宋_GBK"/>
          <w:color w:val="000000"/>
          <w:sz w:val="28"/>
          <w:szCs w:val="28"/>
        </w:rPr>
        <w:t>正本与副本不一致时，以正本为准。响应文件应装订成册，并编制页码，不得采用活页装订。响应文件应密封。响应文件袋上应注明项目名称、供货商、“响应文件”等字样。</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本采购文件提供有统一格式的，响应文件应按统一的格式制作，并在相应的位置签字或盖章。本采购文件没有提供统一格式的，由供应商自行确定格式填报。</w:t>
      </w:r>
    </w:p>
    <w:p>
      <w:pPr>
        <w:adjustRightInd w:val="0"/>
        <w:snapToGrid w:val="0"/>
        <w:spacing w:line="500" w:lineRule="exact"/>
        <w:ind w:firstLine="562" w:firstLineChars="200"/>
        <w:rPr>
          <w:rFonts w:ascii="方正仿宋_GBK" w:hAnsi="宋体" w:eastAsia="方正仿宋_GBK"/>
          <w:b/>
          <w:color w:val="000000"/>
          <w:sz w:val="28"/>
          <w:szCs w:val="28"/>
          <w:u w:val="single"/>
        </w:rPr>
      </w:pPr>
      <w:r>
        <w:rPr>
          <w:rFonts w:hint="eastAsia" w:ascii="方正仿宋_GBK" w:hAnsi="宋体" w:eastAsia="方正仿宋_GBK"/>
          <w:b/>
          <w:color w:val="000000"/>
          <w:sz w:val="28"/>
          <w:szCs w:val="28"/>
          <w:u w:val="single"/>
        </w:rPr>
        <w:t>供应商应保证响应文件中的相关证明资料清晰可辨，否则由此引起的后果由供应商自负。</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报价及费用结算</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（一）报价及费用结算币种：人民币</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（二）供应商应严格按照“响应文件格式”中的格式填写报价。</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1、报单价及总价，单价限价见报价表；</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2、本项目总价最高限价为28万元，超过为废标。</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3、报价为完成本项目所要求服务的整体包干价，应包含完成项目所需的货物及随机附件（包括安装工具）、材料、备品备件的采购、检测、试验、包装、运输、保险、税费、安装、检验、调试、试运行、验收、培训、技术服务（包括提供技术资料、图纸、操作及培训手册等）、质保期保障、项目管理、第三方软件费，以及投标人认为必要的其他货物、材料、工程与服务等所有费用。</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4、供应商提交我行的发票必须是一般纳税人增值税专用发票。</w:t>
      </w:r>
    </w:p>
    <w:p>
      <w:pPr>
        <w:adjustRightInd w:val="0"/>
        <w:snapToGrid w:val="0"/>
        <w:spacing w:line="500" w:lineRule="exact"/>
        <w:ind w:firstLine="560" w:firstLineChars="200"/>
        <w:rPr>
          <w:rFonts w:ascii="方正仿宋_GBK" w:hAnsi="宋体" w:eastAsia="方正仿宋_GBK"/>
          <w:b/>
          <w:color w:val="000000"/>
          <w:sz w:val="28"/>
          <w:szCs w:val="28"/>
        </w:rPr>
      </w:pPr>
      <w:r>
        <w:rPr>
          <w:rFonts w:hint="eastAsia" w:ascii="方正仿宋_GBK" w:hAnsi="宋体" w:eastAsia="方正仿宋_GBK"/>
          <w:color w:val="000000"/>
          <w:sz w:val="28"/>
          <w:szCs w:val="28"/>
        </w:rPr>
        <w:t>（三）支付方式：</w:t>
      </w:r>
      <w:r>
        <w:rPr>
          <w:rFonts w:hint="eastAsia" w:ascii="方正仿宋_GBK" w:hAnsi="宋体" w:eastAsia="方正仿宋_GBK"/>
          <w:b/>
          <w:color w:val="000000"/>
          <w:sz w:val="28"/>
          <w:szCs w:val="28"/>
        </w:rPr>
        <w:t xml:space="preserve"> </w:t>
      </w:r>
    </w:p>
    <w:p>
      <w:pPr>
        <w:pStyle w:val="54"/>
        <w:spacing w:line="500" w:lineRule="exact"/>
        <w:ind w:firstLine="560"/>
        <w:rPr>
          <w:rFonts w:ascii="方正仿宋_GBK" w:hAnsi="宋体" w:eastAsia="方正仿宋_GBK"/>
          <w:color w:val="000000"/>
          <w:sz w:val="28"/>
          <w:szCs w:val="28"/>
        </w:rPr>
      </w:pPr>
      <w:r>
        <w:rPr>
          <w:rFonts w:hint="eastAsia" w:ascii="方正仿宋_GBK" w:hAnsi="宋体" w:eastAsia="方正仿宋_GBK"/>
          <w:color w:val="000000"/>
          <w:sz w:val="28"/>
          <w:szCs w:val="28"/>
        </w:rPr>
        <w:t>气体灭火系统（含控制盘、灭火器储罐、感烟感温探测器、柜体线路、应急启动装置等）安装调试完毕后，在中标人提供具有专业资质的第三方检测机构出具的检测报告30日内，采购人根据实际工程量据实结算费用。</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采购响应保证金及费用</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color w:val="000000"/>
          <w:sz w:val="28"/>
          <w:szCs w:val="28"/>
        </w:rPr>
        <w:t>（一）采购响应保证金：</w:t>
      </w:r>
      <w:r>
        <w:rPr>
          <w:rFonts w:hint="eastAsia" w:ascii="方正仿宋_GBK" w:hAnsi="宋体" w:eastAsia="方正仿宋_GBK"/>
          <w:sz w:val="28"/>
          <w:szCs w:val="28"/>
        </w:rPr>
        <w:t>本次谈判供应商需缴纳采购响应保证金（具体要求详见下文）。竞争性谈判响应保证金在合同签订后5日内按原路径退还。</w:t>
      </w:r>
    </w:p>
    <w:p>
      <w:pPr>
        <w:tabs>
          <w:tab w:val="left" w:pos="1018"/>
        </w:tabs>
        <w:spacing w:line="500" w:lineRule="exact"/>
        <w:ind w:left="560"/>
        <w:rPr>
          <w:rFonts w:ascii="方正仿宋_GBK" w:hAnsi="宋体" w:eastAsia="方正仿宋_GBK"/>
          <w:sz w:val="28"/>
          <w:szCs w:val="28"/>
        </w:rPr>
      </w:pPr>
      <w:r>
        <w:rPr>
          <w:rFonts w:hint="eastAsia" w:ascii="方正仿宋_GBK" w:hAnsi="宋体" w:eastAsia="方正仿宋_GBK"/>
          <w:sz w:val="28"/>
          <w:szCs w:val="28"/>
        </w:rPr>
        <w:t>响应保证金的缴纳具体要求：</w:t>
      </w:r>
    </w:p>
    <w:p>
      <w:pPr>
        <w:tabs>
          <w:tab w:val="left" w:pos="540"/>
          <w:tab w:val="left" w:pos="720"/>
          <w:tab w:val="left" w:pos="1260"/>
        </w:tabs>
        <w:adjustRightInd w:val="0"/>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1、响应保证金</w:t>
      </w:r>
      <w:r>
        <w:rPr>
          <w:rFonts w:hint="eastAsia" w:ascii="方正仿宋_GBK" w:hAnsi="仿宋" w:eastAsia="方正仿宋_GBK"/>
          <w:sz w:val="28"/>
          <w:szCs w:val="28"/>
        </w:rPr>
        <w:t>金额：</w:t>
      </w:r>
      <w:r>
        <w:rPr>
          <w:rFonts w:hint="eastAsia" w:ascii="方正仿宋_GBK" w:hAnsi="仿宋" w:eastAsia="方正仿宋_GBK"/>
          <w:b/>
          <w:sz w:val="28"/>
          <w:szCs w:val="28"/>
          <w:highlight w:val="none"/>
          <w:u w:val="single"/>
        </w:rPr>
        <w:t>人民币</w:t>
      </w:r>
      <w:r>
        <w:rPr>
          <w:rFonts w:hint="eastAsia" w:ascii="方正仿宋_GBK" w:hAnsi="宋体" w:eastAsia="方正仿宋_GBK"/>
          <w:sz w:val="28"/>
          <w:szCs w:val="28"/>
          <w:highlight w:val="none"/>
          <w:u w:val="single"/>
          <w:lang w:val="en-US" w:eastAsia="zh-CN"/>
        </w:rPr>
        <w:t>2,000</w:t>
      </w:r>
      <w:r>
        <w:rPr>
          <w:rFonts w:hint="eastAsia" w:ascii="方正仿宋_GBK" w:hAnsi="仿宋" w:eastAsia="方正仿宋_GBK"/>
          <w:b/>
          <w:sz w:val="28"/>
          <w:szCs w:val="28"/>
          <w:highlight w:val="none"/>
          <w:u w:val="single"/>
        </w:rPr>
        <w:t>元</w:t>
      </w:r>
      <w:r>
        <w:rPr>
          <w:rFonts w:hint="eastAsia" w:ascii="方正仿宋_GBK" w:hAnsi="仿宋" w:eastAsia="方正仿宋_GBK"/>
          <w:b/>
          <w:sz w:val="28"/>
          <w:szCs w:val="28"/>
          <w:highlight w:val="none"/>
        </w:rPr>
        <w:t>。</w:t>
      </w:r>
    </w:p>
    <w:p>
      <w:pPr>
        <w:tabs>
          <w:tab w:val="left" w:pos="540"/>
          <w:tab w:val="left" w:pos="720"/>
          <w:tab w:val="left" w:pos="1260"/>
        </w:tabs>
        <w:adjustRightInd w:val="0"/>
        <w:snapToGrid w:val="0"/>
        <w:spacing w:line="500" w:lineRule="exact"/>
        <w:ind w:firstLine="560" w:firstLineChars="200"/>
        <w:rPr>
          <w:rFonts w:ascii="方正仿宋_GBK" w:hAnsi="仿宋" w:eastAsia="方正仿宋_GBK"/>
          <w:sz w:val="28"/>
          <w:szCs w:val="28"/>
        </w:rPr>
      </w:pPr>
      <w:r>
        <w:rPr>
          <w:rFonts w:hint="eastAsia" w:ascii="方正仿宋_GBK" w:hAnsi="宋体" w:eastAsia="方正仿宋_GBK"/>
          <w:sz w:val="28"/>
          <w:szCs w:val="28"/>
        </w:rPr>
        <w:t>2、响应保证金</w:t>
      </w:r>
      <w:r>
        <w:rPr>
          <w:rFonts w:hint="eastAsia" w:ascii="方正仿宋_GBK" w:hAnsi="仿宋" w:eastAsia="方正仿宋_GBK"/>
          <w:sz w:val="28"/>
          <w:szCs w:val="28"/>
        </w:rPr>
        <w:t>提交方式：以银行转账或银行电汇形式提交，供应商可任选一种。</w:t>
      </w:r>
      <w:r>
        <w:rPr>
          <w:rFonts w:hint="eastAsia" w:ascii="方正仿宋_GBK" w:hAnsi="宋体" w:eastAsia="方正仿宋_GBK"/>
          <w:sz w:val="28"/>
          <w:szCs w:val="28"/>
          <w:u w:val="single"/>
        </w:rPr>
        <w:t>采购响应保证金的递交单位应与供应商的公章一致，采购响应保证金必须从</w:t>
      </w:r>
      <w:r>
        <w:rPr>
          <w:rFonts w:hint="eastAsia" w:ascii="方正仿宋_GBK" w:hAnsi="宋体" w:eastAsia="方正仿宋_GBK"/>
          <w:b/>
          <w:sz w:val="28"/>
          <w:szCs w:val="28"/>
          <w:u w:val="single"/>
        </w:rPr>
        <w:t>供应商单位账户</w:t>
      </w:r>
      <w:r>
        <w:rPr>
          <w:rFonts w:hint="eastAsia" w:ascii="方正仿宋_GBK" w:hAnsi="宋体" w:eastAsia="方正仿宋_GBK"/>
          <w:sz w:val="28"/>
          <w:szCs w:val="28"/>
          <w:u w:val="single"/>
        </w:rPr>
        <w:t>直接转（汇）入以下指定账户。</w:t>
      </w:r>
      <w:r>
        <w:rPr>
          <w:rFonts w:hint="eastAsia" w:ascii="方正仿宋_GBK" w:hAnsi="宋体" w:eastAsia="方正仿宋_GBK"/>
          <w:sz w:val="28"/>
          <w:szCs w:val="28"/>
        </w:rPr>
        <w:t>递交保证金时应注明“××项目响应保证金”。</w:t>
      </w:r>
    </w:p>
    <w:p>
      <w:pPr>
        <w:spacing w:line="500" w:lineRule="exact"/>
        <w:ind w:firstLine="560" w:firstLineChars="200"/>
        <w:rPr>
          <w:rFonts w:ascii="方正仿宋_GBK" w:hAnsi="宋体" w:eastAsia="方正仿宋_GBK"/>
          <w:sz w:val="28"/>
          <w:szCs w:val="28"/>
        </w:rPr>
      </w:pPr>
      <w:r>
        <w:rPr>
          <w:rFonts w:hint="eastAsia" w:ascii="方正仿宋_GBK" w:hAnsi="仿宋" w:eastAsia="方正仿宋_GBK"/>
          <w:sz w:val="28"/>
          <w:szCs w:val="28"/>
        </w:rPr>
        <w:t>3、</w:t>
      </w:r>
      <w:r>
        <w:rPr>
          <w:rFonts w:hint="eastAsia" w:ascii="方正仿宋_GBK" w:hAnsi="宋体" w:eastAsia="方正仿宋_GBK"/>
          <w:sz w:val="28"/>
          <w:szCs w:val="28"/>
        </w:rPr>
        <w:t>响应保证金</w:t>
      </w:r>
      <w:r>
        <w:rPr>
          <w:rFonts w:hint="eastAsia" w:ascii="方正仿宋_GBK" w:hAnsi="仿宋" w:eastAsia="方正仿宋_GBK"/>
          <w:sz w:val="28"/>
          <w:szCs w:val="28"/>
        </w:rPr>
        <w:t>提交时间：</w:t>
      </w:r>
      <w:r>
        <w:rPr>
          <w:rFonts w:hint="eastAsia" w:ascii="方正仿宋_GBK" w:hAnsi="仿宋" w:eastAsia="方正仿宋_GBK"/>
          <w:b/>
          <w:sz w:val="28"/>
          <w:szCs w:val="28"/>
        </w:rPr>
        <w:t>转（汇）款到账截止时间为本项目采购文件第一部分规定的递交时间，</w:t>
      </w:r>
      <w:r>
        <w:rPr>
          <w:rFonts w:hint="eastAsia" w:ascii="方正仿宋_GBK" w:hAnsi="仿宋" w:eastAsia="方正仿宋_GBK"/>
          <w:sz w:val="28"/>
          <w:szCs w:val="28"/>
        </w:rPr>
        <w:t>若本采购文件规定的响应文件递交截止时间顺延，则响应保证金到账截止时间相应顺延</w:t>
      </w:r>
      <w:r>
        <w:rPr>
          <w:rFonts w:hint="eastAsia" w:ascii="方正仿宋_GBK" w:hAnsi="宋体" w:eastAsia="方正仿宋_GBK"/>
          <w:sz w:val="28"/>
          <w:szCs w:val="28"/>
        </w:rPr>
        <w:t>。</w:t>
      </w:r>
    </w:p>
    <w:p>
      <w:pPr>
        <w:tabs>
          <w:tab w:val="left" w:pos="540"/>
          <w:tab w:val="left" w:pos="720"/>
          <w:tab w:val="left" w:pos="1260"/>
        </w:tabs>
        <w:adjustRightInd w:val="0"/>
        <w:snapToGrid w:val="0"/>
        <w:spacing w:line="5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4、</w:t>
      </w:r>
      <w:r>
        <w:rPr>
          <w:rFonts w:hint="eastAsia" w:ascii="方正仿宋_GBK" w:hAnsi="仿宋" w:eastAsia="方正仿宋_GBK"/>
          <w:b/>
          <w:sz w:val="28"/>
          <w:szCs w:val="28"/>
        </w:rPr>
        <w:t>响应保证金递交指定账户信息：</w:t>
      </w:r>
    </w:p>
    <w:p>
      <w:pPr>
        <w:spacing w:line="500" w:lineRule="exact"/>
        <w:ind w:firstLine="560" w:firstLineChars="200"/>
        <w:contextualSpacing/>
        <w:rPr>
          <w:rFonts w:ascii="方正仿宋_GBK" w:hAnsi="Cambria" w:eastAsia="方正仿宋_GBK"/>
          <w:sz w:val="28"/>
          <w:szCs w:val="28"/>
        </w:rPr>
      </w:pPr>
      <w:r>
        <w:rPr>
          <w:rFonts w:hint="eastAsia" w:ascii="方正仿宋_GBK" w:hAnsi="Cambria" w:eastAsia="方正仿宋_GBK"/>
          <w:sz w:val="28"/>
          <w:szCs w:val="28"/>
        </w:rPr>
        <w:t>户名：重庆银行股份有限公司成都分行</w:t>
      </w:r>
    </w:p>
    <w:p>
      <w:pPr>
        <w:spacing w:line="500" w:lineRule="exact"/>
        <w:ind w:firstLine="560" w:firstLineChars="200"/>
        <w:contextualSpacing/>
        <w:rPr>
          <w:rFonts w:ascii="方正仿宋_GBK" w:eastAsia="方正仿宋_GBK"/>
          <w:sz w:val="28"/>
          <w:szCs w:val="28"/>
        </w:rPr>
      </w:pPr>
      <w:r>
        <w:rPr>
          <w:rFonts w:hint="eastAsia" w:ascii="方正仿宋_GBK" w:hAnsi="Cambria" w:eastAsia="方正仿宋_GBK"/>
          <w:sz w:val="28"/>
          <w:szCs w:val="28"/>
        </w:rPr>
        <w:t>账号：</w:t>
      </w:r>
      <w:r>
        <w:rPr>
          <w:rFonts w:hint="eastAsia" w:ascii="方正仿宋_GBK" w:eastAsia="方正仿宋_GBK"/>
          <w:sz w:val="28"/>
          <w:szCs w:val="28"/>
        </w:rPr>
        <w:t>850101040000587</w:t>
      </w:r>
    </w:p>
    <w:p>
      <w:pPr>
        <w:spacing w:line="500" w:lineRule="exact"/>
        <w:ind w:firstLine="560" w:firstLineChars="200"/>
        <w:contextualSpacing/>
        <w:rPr>
          <w:rFonts w:ascii="方正仿宋_GBK" w:hAnsi="Cambria" w:eastAsia="方正仿宋_GBK"/>
          <w:sz w:val="28"/>
          <w:szCs w:val="28"/>
        </w:rPr>
      </w:pPr>
      <w:r>
        <w:rPr>
          <w:rFonts w:hint="eastAsia" w:ascii="方正仿宋_GBK" w:hAnsi="Cambria" w:eastAsia="方正仿宋_GBK"/>
          <w:sz w:val="28"/>
          <w:szCs w:val="28"/>
        </w:rPr>
        <w:t>开户行：重庆银行成都分行营业部</w:t>
      </w:r>
    </w:p>
    <w:p>
      <w:pPr>
        <w:adjustRightInd w:val="0"/>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注：汇款时若有疑问请咨询</w:t>
      </w:r>
      <w:r>
        <w:rPr>
          <w:rFonts w:hint="eastAsia" w:ascii="方正仿宋_GBK" w:hAnsi="宋体" w:eastAsia="方正仿宋_GBK"/>
          <w:sz w:val="28"/>
          <w:szCs w:val="28"/>
          <w:lang w:val="en-US" w:eastAsia="zh-CN"/>
        </w:rPr>
        <w:t>陈</w:t>
      </w:r>
      <w:r>
        <w:rPr>
          <w:rFonts w:hint="eastAsia" w:ascii="方正仿宋_GBK" w:hAnsi="宋体" w:eastAsia="方正仿宋_GBK"/>
          <w:sz w:val="28"/>
          <w:szCs w:val="28"/>
        </w:rPr>
        <w:t>老师，联系电话：028-</w:t>
      </w:r>
      <w:r>
        <w:rPr>
          <w:rFonts w:hint="eastAsia" w:ascii="方正仿宋_GBK" w:hAnsi="宋体" w:eastAsia="方正仿宋_GBK"/>
          <w:sz w:val="28"/>
          <w:szCs w:val="28"/>
          <w:lang w:val="en-US" w:eastAsia="zh-CN"/>
        </w:rPr>
        <w:t>85283582</w:t>
      </w:r>
      <w:r>
        <w:rPr>
          <w:rFonts w:hint="eastAsia" w:ascii="方正仿宋_GBK" w:hAnsi="宋体" w:eastAsia="方正仿宋_GBK"/>
          <w:sz w:val="28"/>
          <w:szCs w:val="28"/>
        </w:rPr>
        <w:t>；退款事宜详询采购文件第一部分《邀请函》中的联系人及联系电话。</w:t>
      </w:r>
    </w:p>
    <w:p>
      <w:pPr>
        <w:tabs>
          <w:tab w:val="left" w:pos="540"/>
          <w:tab w:val="left" w:pos="720"/>
          <w:tab w:val="left" w:pos="1260"/>
        </w:tabs>
        <w:adjustRightInd w:val="0"/>
        <w:snapToGrid w:val="0"/>
        <w:spacing w:line="500" w:lineRule="exact"/>
        <w:ind w:firstLine="560" w:firstLineChars="200"/>
        <w:rPr>
          <w:rFonts w:ascii="方正仿宋_GBK" w:hAnsi="宋体" w:eastAsia="方正仿宋_GBK"/>
          <w:sz w:val="28"/>
          <w:szCs w:val="28"/>
        </w:rPr>
      </w:pPr>
      <w:r>
        <w:rPr>
          <w:rFonts w:hint="eastAsia" w:ascii="方正仿宋_GBK" w:hAnsi="仿宋" w:eastAsia="方正仿宋_GBK"/>
          <w:sz w:val="28"/>
          <w:szCs w:val="28"/>
        </w:rPr>
        <w:t>5</w:t>
      </w:r>
      <w:r>
        <w:rPr>
          <w:rFonts w:hint="eastAsia" w:ascii="方正仿宋_GBK" w:hAnsi="宋体" w:eastAsia="方正仿宋_GBK"/>
          <w:sz w:val="28"/>
          <w:szCs w:val="28"/>
        </w:rPr>
        <w:t>、</w:t>
      </w:r>
      <w:r>
        <w:rPr>
          <w:rFonts w:hint="eastAsia" w:ascii="方正仿宋_GBK" w:hAnsi="仿宋" w:eastAsia="方正仿宋_GBK"/>
          <w:sz w:val="28"/>
          <w:szCs w:val="28"/>
        </w:rPr>
        <w:t>采购响应保证金有效期：90天。</w:t>
      </w:r>
    </w:p>
    <w:p>
      <w:pPr>
        <w:adjustRightInd w:val="0"/>
        <w:snapToGrid w:val="0"/>
        <w:spacing w:line="500" w:lineRule="exact"/>
        <w:ind w:firstLine="560" w:firstLineChars="200"/>
        <w:rPr>
          <w:rFonts w:ascii="方正仿宋_GBK" w:hAnsi="仿宋" w:eastAsia="方正仿宋_GBK"/>
          <w:b/>
          <w:color w:val="000000"/>
          <w:sz w:val="28"/>
          <w:szCs w:val="28"/>
          <w:u w:val="single"/>
        </w:rPr>
      </w:pPr>
      <w:r>
        <w:rPr>
          <w:rFonts w:hint="eastAsia" w:ascii="方正仿宋_GBK" w:hAnsi="仿宋" w:eastAsia="方正仿宋_GBK"/>
          <w:sz w:val="28"/>
          <w:szCs w:val="28"/>
        </w:rPr>
        <w:t>6、特别提示：各供应商在银行转账（电汇）时，须充分考虑银行转账（电汇）的时间差风险，如同城转账、异地转账、跨行转账或电汇等所需的时间。响应保证金未在到账截止时间前汇入本采购文件指定账户的风险由供应商自行承担。</w:t>
      </w:r>
    </w:p>
    <w:p>
      <w:pPr>
        <w:tabs>
          <w:tab w:val="left" w:pos="540"/>
          <w:tab w:val="left" w:pos="720"/>
          <w:tab w:val="left" w:pos="1260"/>
        </w:tabs>
        <w:adjustRightInd w:val="0"/>
        <w:snapToGrid w:val="0"/>
        <w:spacing w:line="500" w:lineRule="exact"/>
        <w:rPr>
          <w:rFonts w:ascii="方正仿宋_GBK" w:hAnsi="宋体" w:eastAsia="方正仿宋_GBK"/>
          <w:color w:val="000000"/>
          <w:sz w:val="28"/>
          <w:szCs w:val="28"/>
        </w:rPr>
      </w:pPr>
      <w:r>
        <w:rPr>
          <w:rFonts w:hint="eastAsia" w:ascii="方正仿宋_GBK" w:hAnsi="仿宋" w:eastAsia="方正仿宋_GBK"/>
          <w:color w:val="000000"/>
          <w:sz w:val="28"/>
          <w:szCs w:val="28"/>
        </w:rPr>
        <w:tab/>
      </w:r>
      <w:r>
        <w:rPr>
          <w:rFonts w:hint="eastAsia" w:ascii="方正仿宋_GBK" w:hAnsi="仿宋" w:eastAsia="方正仿宋_GBK"/>
          <w:color w:val="000000"/>
          <w:sz w:val="28"/>
          <w:szCs w:val="28"/>
        </w:rPr>
        <w:t>（二）</w:t>
      </w:r>
      <w:r>
        <w:rPr>
          <w:rFonts w:hint="eastAsia" w:ascii="方正仿宋_GBK" w:hAnsi="宋体" w:eastAsia="方正仿宋_GBK"/>
          <w:color w:val="000000"/>
          <w:sz w:val="28"/>
          <w:szCs w:val="28"/>
        </w:rPr>
        <w:t>谈判费用：无论谈判过程中的做法和结果如何,供应商须自行承担所有与谈判有关的全部费用。</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递交采购响应文件的时间及地点</w:t>
      </w:r>
    </w:p>
    <w:p>
      <w:pPr>
        <w:pStyle w:val="48"/>
        <w:adjustRightInd w:val="0"/>
        <w:snapToGrid w:val="0"/>
        <w:spacing w:line="500" w:lineRule="exact"/>
        <w:ind w:left="570" w:firstLine="0" w:firstLineChars="0"/>
        <w:rPr>
          <w:rFonts w:ascii="方正仿宋_GBK" w:hAnsi="宋体" w:eastAsia="方正仿宋_GBK"/>
          <w:color w:val="000000"/>
          <w:sz w:val="28"/>
          <w:szCs w:val="28"/>
        </w:rPr>
      </w:pPr>
      <w:r>
        <w:rPr>
          <w:rFonts w:hint="eastAsia" w:ascii="方正仿宋_GBK" w:hAnsi="宋体" w:eastAsia="方正仿宋_GBK"/>
          <w:color w:val="000000"/>
          <w:sz w:val="28"/>
          <w:szCs w:val="28"/>
        </w:rPr>
        <w:t>详见本文件第一部分。</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谈判及评审</w:t>
      </w:r>
    </w:p>
    <w:p>
      <w:pPr>
        <w:tabs>
          <w:tab w:val="left" w:pos="540"/>
          <w:tab w:val="left" w:pos="720"/>
          <w:tab w:val="left" w:pos="1080"/>
        </w:tabs>
        <w:adjustRightInd w:val="0"/>
        <w:snapToGrid w:val="0"/>
        <w:spacing w:line="500" w:lineRule="exact"/>
        <w:ind w:left="540"/>
        <w:rPr>
          <w:rFonts w:ascii="方正仿宋_GBK" w:hAnsi="宋体" w:eastAsia="方正仿宋_GBK"/>
          <w:color w:val="000000"/>
          <w:sz w:val="28"/>
          <w:szCs w:val="28"/>
        </w:rPr>
      </w:pPr>
      <w:r>
        <w:rPr>
          <w:rFonts w:hint="eastAsia" w:ascii="方正仿宋_GBK" w:hAnsi="宋体" w:eastAsia="方正仿宋_GBK"/>
          <w:color w:val="000000"/>
          <w:sz w:val="28"/>
          <w:szCs w:val="28"/>
        </w:rPr>
        <w:t>（一）评审委员会的组成</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评审委员会将由相关技术、经济专家，共5人及以上的单数组成。</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供应商须由法定代表人或其有效代理人（附授权委托书）参加谈判，随时对评审委员会的询问予以解答。</w:t>
      </w:r>
    </w:p>
    <w:p>
      <w:pPr>
        <w:tabs>
          <w:tab w:val="left" w:pos="540"/>
          <w:tab w:val="left" w:pos="720"/>
          <w:tab w:val="left" w:pos="1080"/>
        </w:tabs>
        <w:adjustRightInd w:val="0"/>
        <w:snapToGrid w:val="0"/>
        <w:spacing w:line="500" w:lineRule="exact"/>
        <w:ind w:left="540"/>
        <w:rPr>
          <w:rFonts w:ascii="方正仿宋_GBK" w:hAnsi="宋体" w:eastAsia="方正仿宋_GBK"/>
          <w:color w:val="000000"/>
          <w:sz w:val="28"/>
          <w:szCs w:val="28"/>
        </w:rPr>
      </w:pPr>
      <w:r>
        <w:rPr>
          <w:rFonts w:hint="eastAsia" w:ascii="方正仿宋_GBK" w:hAnsi="宋体" w:eastAsia="方正仿宋_GBK"/>
          <w:color w:val="000000"/>
          <w:sz w:val="28"/>
          <w:szCs w:val="28"/>
        </w:rPr>
        <w:t>（二）评审程序</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1、初步评审</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（1）核验参加谈判的供应商的法定代表人或委托代理人本人身份证（原件），核验被授权代理人的授权委托书（原件），以确认其身份合法有效；</w:t>
      </w:r>
    </w:p>
    <w:p>
      <w:pPr>
        <w:tabs>
          <w:tab w:val="left" w:pos="0"/>
          <w:tab w:val="left" w:pos="540"/>
          <w:tab w:val="left" w:pos="126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（2）核验供应商的资格（按第二部分《采购须知》第二条）、响应文件的签署、响应文件的完整性、响应文件的符合性。响应文件有下列情况之一，其响应文件无效:</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a. 供应商提供的货物或服务不满足采购文件实质性要求的;</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b. 没有按时足额提交谈判保证金或未从供应商基本账户提交谈判保证金的（采购文件没有要求提交响应保证金的除外）；</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c. 未按照谈判文件规定要求密封、签署、盖章的；</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d. 未按照谈判文件规定提供资格证明材料的；</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e. 《技术/商务响应与偏离表》中出现应答“负偏离”或出现应答内容经评委认定为“负偏离”的；</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f. 报价高于项目预算的；</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g. 其他不符合法律、规章、规范性文件和谈判文件规定的。</w:t>
      </w:r>
    </w:p>
    <w:p>
      <w:pPr>
        <w:tabs>
          <w:tab w:val="left" w:pos="0"/>
          <w:tab w:val="left" w:pos="54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2、谈判</w:t>
      </w:r>
    </w:p>
    <w:p>
      <w:pPr>
        <w:tabs>
          <w:tab w:val="left" w:pos="0"/>
          <w:tab w:val="left" w:pos="540"/>
          <w:tab w:val="left" w:pos="108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（1）评审委员会全体成员与每一供应商就技术参数、质量保证、价格情况、售后服务及合同条款等分别进行谈判。</w:t>
      </w:r>
      <w:r>
        <w:rPr>
          <w:rFonts w:hint="eastAsia" w:ascii="方正仿宋_GBK" w:eastAsia="方正仿宋_GBK"/>
          <w:color w:val="000000"/>
          <w:sz w:val="28"/>
          <w:szCs w:val="28"/>
        </w:rPr>
        <w:t>逐家谈判一次为一个轮次，谈判轮次由</w:t>
      </w:r>
      <w:r>
        <w:rPr>
          <w:rFonts w:hint="eastAsia" w:ascii="方正仿宋_GBK" w:hAnsi="宋体" w:eastAsia="方正仿宋_GBK"/>
          <w:color w:val="000000"/>
          <w:sz w:val="28"/>
          <w:szCs w:val="28"/>
        </w:rPr>
        <w:t>评审委员会</w:t>
      </w:r>
      <w:r>
        <w:rPr>
          <w:rFonts w:hint="eastAsia" w:ascii="方正仿宋_GBK" w:eastAsia="方正仿宋_GBK"/>
          <w:color w:val="000000"/>
          <w:sz w:val="28"/>
          <w:szCs w:val="28"/>
        </w:rPr>
        <w:t>视情况决定。在谈判中，谈判的任何一方不得透露与谈判有关的其他供应商的技术资料、价格和其他信息。</w:t>
      </w:r>
    </w:p>
    <w:p>
      <w:pPr>
        <w:tabs>
          <w:tab w:val="left" w:pos="0"/>
          <w:tab w:val="left" w:pos="540"/>
          <w:tab w:val="left" w:pos="108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（2）评审委员会对供应商响应文件中含义不明确、同类问题表述不一致或有明显文字和计算错误的可以要求供应商以书面形式加以澄清、说明或纠正，并要求其授权代表签字确认。</w:t>
      </w:r>
    </w:p>
    <w:p>
      <w:pPr>
        <w:tabs>
          <w:tab w:val="left" w:pos="540"/>
          <w:tab w:val="left" w:pos="720"/>
        </w:tabs>
        <w:adjustRightInd w:val="0"/>
        <w:snapToGrid w:val="0"/>
        <w:spacing w:line="500" w:lineRule="exact"/>
        <w:ind w:firstLine="560" w:firstLineChars="200"/>
        <w:rPr>
          <w:rFonts w:ascii="方正仿宋_GBK" w:hAnsi="宋体" w:eastAsia="方正仿宋_GBK"/>
          <w:b/>
          <w:color w:val="000000"/>
          <w:sz w:val="28"/>
          <w:szCs w:val="28"/>
        </w:rPr>
      </w:pPr>
      <w:r>
        <w:rPr>
          <w:rFonts w:hint="eastAsia" w:ascii="方正仿宋_GBK" w:hAnsi="宋体" w:eastAsia="方正仿宋_GBK"/>
          <w:color w:val="000000"/>
          <w:sz w:val="28"/>
          <w:szCs w:val="28"/>
        </w:rPr>
        <w:t>（3）</w:t>
      </w:r>
      <w:r>
        <w:rPr>
          <w:rFonts w:hint="eastAsia" w:ascii="方正仿宋_GBK" w:hAnsi="宋体" w:eastAsia="方正仿宋_GBK"/>
          <w:b/>
          <w:color w:val="000000"/>
          <w:sz w:val="28"/>
          <w:szCs w:val="28"/>
        </w:rPr>
        <w:t>采购人保留在正式的谈判中修改部分采购条件的权利。</w:t>
      </w:r>
      <w:r>
        <w:rPr>
          <w:rFonts w:hint="eastAsia" w:ascii="方正仿宋_GBK" w:hAnsi="宋体" w:eastAsia="方正仿宋_GBK"/>
          <w:color w:val="000000"/>
          <w:sz w:val="28"/>
          <w:szCs w:val="28"/>
        </w:rPr>
        <w:t>采购文件如有实质性变动的，须经评审委员会半数以上成员同意并签字确认后，由评审委员会以书面形式通知参加谈判的供应商，并要求其法定代表人或被授权代表人视频确认，评审会后补交签字确认函</w:t>
      </w:r>
      <w:r>
        <w:rPr>
          <w:rFonts w:hint="eastAsia" w:ascii="方正仿宋_GBK" w:hAnsi="宋体" w:eastAsia="方正仿宋_GBK"/>
          <w:b/>
          <w:color w:val="000000"/>
          <w:sz w:val="28"/>
          <w:szCs w:val="28"/>
        </w:rPr>
        <w:t>（如不签字确认即被认为拒绝修改并放弃谈判）。</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3、最终报价</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供应商应根据竞争性谈判文件、补遗书（若有）及相关书面通知在谈判小组规定的时间内提出有关书面建议，书面报出最终服务承诺和最终报价。供应商在谈判时作出的所有书面承诺及报价须由其法定代表人或授权代理人签字确认。原则上最终报价不能更改。在规定时间内未提交最终报价的供应商视为放弃最终报价，以其前一次报价为准。在谈判实质性内容不变的情况下，最终报价不能高于第一次报价，否则其报价将作为无效报价处理。所有供应商最终报价均高于采购预算价，导致采购人不能支付时，本次采购失败</w:t>
      </w:r>
      <w:r>
        <w:rPr>
          <w:rFonts w:hint="eastAsia" w:ascii="方正仿宋_GBK" w:hAnsi="宋体" w:eastAsia="方正仿宋_GBK"/>
          <w:b/>
          <w:color w:val="000000"/>
          <w:sz w:val="28"/>
          <w:szCs w:val="28"/>
        </w:rPr>
        <w:t>。</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4、确定成交供应商</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1）谈判结束后，评审委员会将从满足本项目采购文件要求的供应商中，按最终报价由低到高排出名次，并推荐前三名为成交候选人。当最低报价相同时，应进行下一轮报价，直至满足排序要求。若多轮报价仍相同时，由供应商抽签决定排序。</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（2）</w:t>
      </w:r>
      <w:r>
        <w:rPr>
          <w:rFonts w:hint="eastAsia" w:ascii="方正仿宋_GBK" w:hAnsi="宋体" w:eastAsia="方正仿宋_GBK"/>
          <w:b/>
          <w:color w:val="000000"/>
          <w:sz w:val="28"/>
          <w:szCs w:val="28"/>
          <w:u w:val="single"/>
        </w:rPr>
        <w:t>采购结果公告后，采购人有权通知成交候选人提交采购文件要求的所有复印件的相关原件进行复核。经采购人复核无误后，由采购人按采购文件相关规定确定成交供应商并发出成交通知书。成交候选人未能通过复核的，采购人有权取消其成交候选人资格，响应保证金不退还，重新组织采购。</w:t>
      </w:r>
    </w:p>
    <w:p>
      <w:pPr>
        <w:tabs>
          <w:tab w:val="left" w:pos="540"/>
          <w:tab w:val="left" w:pos="720"/>
        </w:tabs>
        <w:adjustRightInd w:val="0"/>
        <w:snapToGrid w:val="0"/>
        <w:spacing w:line="500" w:lineRule="exact"/>
        <w:ind w:firstLine="560" w:firstLineChars="200"/>
        <w:rPr>
          <w:rFonts w:ascii="方正仿宋_GBK" w:hAnsi="宋体" w:eastAsia="方正仿宋_GBK"/>
          <w:b/>
          <w:color w:val="000000"/>
          <w:sz w:val="28"/>
          <w:szCs w:val="28"/>
          <w:u w:val="single"/>
        </w:rPr>
      </w:pPr>
      <w:r>
        <w:rPr>
          <w:rFonts w:hint="eastAsia" w:ascii="方正仿宋_GBK" w:hAnsi="宋体" w:eastAsia="方正仿宋_GBK"/>
          <w:bCs/>
          <w:color w:val="000000"/>
          <w:sz w:val="28"/>
          <w:szCs w:val="28"/>
        </w:rPr>
        <w:t>（3）</w:t>
      </w:r>
      <w:r>
        <w:rPr>
          <w:rFonts w:hint="eastAsia" w:ascii="方正仿宋_GBK" w:hAnsi="宋体" w:eastAsia="方正仿宋_GBK"/>
          <w:b/>
          <w:color w:val="000000"/>
          <w:sz w:val="28"/>
          <w:szCs w:val="28"/>
          <w:u w:val="single"/>
        </w:rPr>
        <w:t>如果成交供应商放弃成交或因不可抗力不能履行合同或不按照采购文件要求提交履约保证金（如果有）或不按照采购文件要求提交低价履约担保（如果有）或不按照采购文件要求参加相关测试或相关测试未通过（如果有）或未在收到采购人或采购代理机构通知其领取成交通知书的3个工作日内领取成交通知书或被查实存在影响成交结果的违法行为等情形，不符合成交条件的，采购人可以按以下程序依序确定成交供应商或重新组织采购。</w:t>
      </w:r>
    </w:p>
    <w:p>
      <w:pPr>
        <w:tabs>
          <w:tab w:val="left" w:pos="540"/>
          <w:tab w:val="left" w:pos="720"/>
        </w:tabs>
        <w:adjustRightInd w:val="0"/>
        <w:snapToGrid w:val="0"/>
        <w:spacing w:line="500" w:lineRule="exact"/>
        <w:ind w:firstLine="840" w:firstLineChars="300"/>
        <w:rPr>
          <w:rFonts w:ascii="方正仿宋_GBK" w:hAnsi="宋体" w:eastAsia="方正仿宋_GBK"/>
          <w:color w:val="000000"/>
          <w:sz w:val="28"/>
          <w:szCs w:val="28"/>
        </w:rPr>
      </w:pPr>
      <w:r>
        <w:rPr>
          <w:rFonts w:hint="eastAsia" w:ascii="方正仿宋_GBK" w:hAnsi="宋体" w:eastAsia="方正仿宋_GBK"/>
          <w:color w:val="000000"/>
          <w:sz w:val="28"/>
          <w:szCs w:val="28"/>
        </w:rPr>
        <w:t>如依序确定其他成交候选人为成交供应商的，应遵循以下规则：</w:t>
      </w:r>
    </w:p>
    <w:p>
      <w:pPr>
        <w:tabs>
          <w:tab w:val="left" w:pos="540"/>
          <w:tab w:val="left" w:pos="720"/>
        </w:tabs>
        <w:adjustRightInd w:val="0"/>
        <w:snapToGrid w:val="0"/>
        <w:spacing w:line="500" w:lineRule="exact"/>
        <w:ind w:firstLine="840" w:firstLineChars="300"/>
        <w:rPr>
          <w:rFonts w:ascii="方正仿宋_GBK" w:hAnsi="宋体" w:eastAsia="方正仿宋_GBK"/>
          <w:color w:val="000000"/>
          <w:sz w:val="28"/>
          <w:szCs w:val="28"/>
        </w:rPr>
      </w:pPr>
      <w:r>
        <w:rPr>
          <w:rFonts w:hint="eastAsia" w:ascii="方正仿宋_GBK" w:hAnsi="宋体" w:eastAsia="方正仿宋_GBK"/>
          <w:color w:val="000000"/>
          <w:sz w:val="28"/>
          <w:szCs w:val="28"/>
        </w:rPr>
        <w:fldChar w:fldCharType="begin"/>
      </w:r>
      <w:r>
        <w:rPr>
          <w:rFonts w:hint="eastAsia" w:ascii="方正仿宋_GBK" w:hAnsi="宋体" w:eastAsia="方正仿宋_GBK"/>
          <w:color w:val="000000"/>
          <w:sz w:val="28"/>
          <w:szCs w:val="28"/>
        </w:rPr>
        <w:instrText xml:space="preserve"> = 1 \* GB3 </w:instrText>
      </w:r>
      <w:r>
        <w:rPr>
          <w:rFonts w:hint="eastAsia" w:ascii="方正仿宋_GBK" w:hAnsi="宋体" w:eastAsia="方正仿宋_GBK"/>
          <w:color w:val="000000"/>
          <w:sz w:val="28"/>
          <w:szCs w:val="28"/>
        </w:rPr>
        <w:fldChar w:fldCharType="separate"/>
      </w:r>
      <w:r>
        <w:rPr>
          <w:rFonts w:hint="eastAsia" w:ascii="方正仿宋_GBK" w:hAnsi="宋体" w:eastAsia="方正仿宋_GBK"/>
          <w:color w:val="000000"/>
          <w:sz w:val="28"/>
          <w:szCs w:val="28"/>
        </w:rPr>
        <w:t>①</w:t>
      </w:r>
      <w:r>
        <w:rPr>
          <w:rFonts w:hint="eastAsia" w:ascii="方正仿宋_GBK" w:hAnsi="宋体" w:eastAsia="方正仿宋_GBK"/>
          <w:color w:val="000000"/>
          <w:sz w:val="28"/>
          <w:szCs w:val="28"/>
        </w:rPr>
        <w:fldChar w:fldCharType="end"/>
      </w:r>
      <w:r>
        <w:rPr>
          <w:rFonts w:hint="eastAsia" w:ascii="方正仿宋_GBK" w:hAnsi="宋体" w:eastAsia="方正仿宋_GBK"/>
          <w:color w:val="000000"/>
          <w:sz w:val="28"/>
          <w:szCs w:val="28"/>
        </w:rPr>
        <w:t>第一成交候选人拟成交金额在100万以下的，排名靠后的成交候选人最终报价不得超过第一成交候选人拟成交金额的5%；</w:t>
      </w:r>
    </w:p>
    <w:p>
      <w:pPr>
        <w:tabs>
          <w:tab w:val="left" w:pos="540"/>
          <w:tab w:val="left" w:pos="720"/>
        </w:tabs>
        <w:adjustRightInd w:val="0"/>
        <w:snapToGrid w:val="0"/>
        <w:spacing w:line="500" w:lineRule="exact"/>
        <w:ind w:firstLine="840" w:firstLineChars="300"/>
        <w:rPr>
          <w:rFonts w:ascii="方正仿宋_GBK" w:hAnsi="宋体" w:eastAsia="方正仿宋_GBK"/>
          <w:color w:val="000000"/>
          <w:sz w:val="28"/>
          <w:szCs w:val="28"/>
        </w:rPr>
      </w:pPr>
      <w:r>
        <w:rPr>
          <w:rFonts w:hint="eastAsia" w:ascii="方正仿宋_GBK" w:hAnsi="宋体" w:eastAsia="方正仿宋_GBK"/>
          <w:color w:val="000000"/>
          <w:sz w:val="28"/>
          <w:szCs w:val="28"/>
        </w:rPr>
        <w:fldChar w:fldCharType="begin"/>
      </w:r>
      <w:r>
        <w:rPr>
          <w:rFonts w:hint="eastAsia" w:ascii="方正仿宋_GBK" w:hAnsi="宋体" w:eastAsia="方正仿宋_GBK"/>
          <w:color w:val="000000"/>
          <w:sz w:val="28"/>
          <w:szCs w:val="28"/>
        </w:rPr>
        <w:instrText xml:space="preserve"> = 2 \* GB3 </w:instrText>
      </w:r>
      <w:r>
        <w:rPr>
          <w:rFonts w:hint="eastAsia" w:ascii="方正仿宋_GBK" w:hAnsi="宋体" w:eastAsia="方正仿宋_GBK"/>
          <w:color w:val="000000"/>
          <w:sz w:val="28"/>
          <w:szCs w:val="28"/>
        </w:rPr>
        <w:fldChar w:fldCharType="separate"/>
      </w:r>
      <w:r>
        <w:rPr>
          <w:rFonts w:hint="eastAsia" w:ascii="方正仿宋_GBK" w:hAnsi="宋体" w:eastAsia="方正仿宋_GBK"/>
          <w:color w:val="000000"/>
          <w:sz w:val="28"/>
          <w:szCs w:val="28"/>
        </w:rPr>
        <w:t>②</w:t>
      </w:r>
      <w:r>
        <w:rPr>
          <w:rFonts w:hint="eastAsia" w:ascii="方正仿宋_GBK" w:hAnsi="宋体" w:eastAsia="方正仿宋_GBK"/>
          <w:color w:val="000000"/>
          <w:sz w:val="28"/>
          <w:szCs w:val="28"/>
        </w:rPr>
        <w:fldChar w:fldCharType="end"/>
      </w:r>
      <w:r>
        <w:rPr>
          <w:rFonts w:hint="eastAsia" w:ascii="方正仿宋_GBK" w:hAnsi="宋体" w:eastAsia="方正仿宋_GBK"/>
          <w:color w:val="000000"/>
          <w:sz w:val="28"/>
          <w:szCs w:val="28"/>
        </w:rPr>
        <w:t>第一成交候选人拟成交金额在100万（含）—200万（含）的，排名靠后的成交候选人最终报价不得超过第一成交候选人拟成交金额的4%；</w:t>
      </w:r>
    </w:p>
    <w:p>
      <w:pPr>
        <w:tabs>
          <w:tab w:val="left" w:pos="540"/>
          <w:tab w:val="left" w:pos="720"/>
        </w:tabs>
        <w:adjustRightInd w:val="0"/>
        <w:snapToGrid w:val="0"/>
        <w:spacing w:line="500" w:lineRule="exact"/>
        <w:ind w:firstLine="840" w:firstLineChars="300"/>
        <w:rPr>
          <w:rFonts w:ascii="方正仿宋_GBK" w:hAnsi="宋体" w:eastAsia="方正仿宋_GBK"/>
          <w:color w:val="000000"/>
          <w:sz w:val="28"/>
          <w:szCs w:val="28"/>
        </w:rPr>
      </w:pPr>
      <w:r>
        <w:rPr>
          <w:rFonts w:hint="eastAsia" w:ascii="方正仿宋_GBK" w:hAnsi="宋体" w:eastAsia="方正仿宋_GBK"/>
          <w:color w:val="000000"/>
          <w:sz w:val="28"/>
          <w:szCs w:val="28"/>
        </w:rPr>
        <w:fldChar w:fldCharType="begin"/>
      </w:r>
      <w:r>
        <w:rPr>
          <w:rFonts w:hint="eastAsia" w:ascii="方正仿宋_GBK" w:hAnsi="宋体" w:eastAsia="方正仿宋_GBK"/>
          <w:color w:val="000000"/>
          <w:sz w:val="28"/>
          <w:szCs w:val="28"/>
        </w:rPr>
        <w:instrText xml:space="preserve"> = 3 \* GB3 </w:instrText>
      </w:r>
      <w:r>
        <w:rPr>
          <w:rFonts w:hint="eastAsia" w:ascii="方正仿宋_GBK" w:hAnsi="宋体" w:eastAsia="方正仿宋_GBK"/>
          <w:color w:val="000000"/>
          <w:sz w:val="28"/>
          <w:szCs w:val="28"/>
        </w:rPr>
        <w:fldChar w:fldCharType="separate"/>
      </w:r>
      <w:r>
        <w:rPr>
          <w:rFonts w:hint="eastAsia" w:ascii="方正仿宋_GBK" w:hAnsi="宋体" w:eastAsia="方正仿宋_GBK"/>
          <w:color w:val="000000"/>
          <w:sz w:val="28"/>
          <w:szCs w:val="28"/>
        </w:rPr>
        <w:t>③</w:t>
      </w:r>
      <w:r>
        <w:rPr>
          <w:rFonts w:hint="eastAsia" w:ascii="方正仿宋_GBK" w:hAnsi="宋体" w:eastAsia="方正仿宋_GBK"/>
          <w:color w:val="000000"/>
          <w:sz w:val="28"/>
          <w:szCs w:val="28"/>
        </w:rPr>
        <w:fldChar w:fldCharType="end"/>
      </w:r>
      <w:r>
        <w:rPr>
          <w:rFonts w:hint="eastAsia" w:ascii="方正仿宋_GBK" w:hAnsi="宋体" w:eastAsia="方正仿宋_GBK"/>
          <w:color w:val="000000"/>
          <w:sz w:val="28"/>
          <w:szCs w:val="28"/>
        </w:rPr>
        <w:t>第一成交候选人拟成交金额在200万以上的，排名靠后的成交候选人最终报价不得超过第一成交候选人拟成交金额的3%；</w:t>
      </w:r>
    </w:p>
    <w:p>
      <w:pPr>
        <w:tabs>
          <w:tab w:val="left" w:pos="540"/>
          <w:tab w:val="left" w:pos="720"/>
        </w:tabs>
        <w:adjustRightInd w:val="0"/>
        <w:snapToGrid w:val="0"/>
        <w:spacing w:line="500" w:lineRule="exact"/>
        <w:ind w:firstLine="840" w:firstLineChars="300"/>
        <w:rPr>
          <w:rFonts w:ascii="方正仿宋_GBK" w:hAnsi="宋体" w:eastAsia="方正仿宋_GBK"/>
          <w:color w:val="000000"/>
          <w:sz w:val="28"/>
          <w:szCs w:val="28"/>
        </w:rPr>
      </w:pPr>
      <w:r>
        <w:rPr>
          <w:rFonts w:hint="eastAsia" w:ascii="方正仿宋_GBK" w:hAnsi="宋体" w:eastAsia="方正仿宋_GBK"/>
          <w:color w:val="000000"/>
          <w:sz w:val="28"/>
          <w:szCs w:val="28"/>
        </w:rPr>
        <w:fldChar w:fldCharType="begin"/>
      </w:r>
      <w:r>
        <w:rPr>
          <w:rFonts w:hint="eastAsia" w:ascii="方正仿宋_GBK" w:hAnsi="宋体" w:eastAsia="方正仿宋_GBK"/>
          <w:color w:val="000000"/>
          <w:sz w:val="28"/>
          <w:szCs w:val="28"/>
        </w:rPr>
        <w:instrText xml:space="preserve"> = 4 \* GB3 </w:instrText>
      </w:r>
      <w:r>
        <w:rPr>
          <w:rFonts w:hint="eastAsia" w:ascii="方正仿宋_GBK" w:hAnsi="宋体" w:eastAsia="方正仿宋_GBK"/>
          <w:color w:val="000000"/>
          <w:sz w:val="28"/>
          <w:szCs w:val="28"/>
        </w:rPr>
        <w:fldChar w:fldCharType="separate"/>
      </w:r>
      <w:r>
        <w:rPr>
          <w:rFonts w:hint="eastAsia" w:ascii="方正仿宋_GBK" w:hAnsi="宋体" w:eastAsia="方正仿宋_GBK"/>
          <w:color w:val="000000"/>
          <w:sz w:val="28"/>
          <w:szCs w:val="28"/>
        </w:rPr>
        <w:t>④</w:t>
      </w:r>
      <w:r>
        <w:rPr>
          <w:rFonts w:hint="eastAsia" w:ascii="方正仿宋_GBK" w:hAnsi="宋体" w:eastAsia="方正仿宋_GBK"/>
          <w:color w:val="000000"/>
          <w:sz w:val="28"/>
          <w:szCs w:val="28"/>
        </w:rPr>
        <w:fldChar w:fldCharType="end"/>
      </w:r>
      <w:r>
        <w:rPr>
          <w:rFonts w:hint="eastAsia" w:ascii="方正仿宋_GBK" w:hAnsi="宋体" w:eastAsia="方正仿宋_GBK"/>
          <w:color w:val="000000"/>
          <w:sz w:val="28"/>
          <w:szCs w:val="28"/>
        </w:rPr>
        <w:t>经采购人采购委审批同意的其他情形；</w:t>
      </w:r>
    </w:p>
    <w:p>
      <w:pPr>
        <w:tabs>
          <w:tab w:val="left" w:pos="540"/>
          <w:tab w:val="left" w:pos="720"/>
        </w:tabs>
        <w:adjustRightInd w:val="0"/>
        <w:snapToGrid w:val="0"/>
        <w:spacing w:line="500" w:lineRule="exact"/>
        <w:ind w:firstLine="843" w:firstLineChars="300"/>
        <w:rPr>
          <w:rFonts w:ascii="方正仿宋_GBK" w:hAnsi="宋体" w:eastAsia="方正仿宋_GBK"/>
          <w:b/>
          <w:color w:val="000000"/>
          <w:sz w:val="28"/>
          <w:szCs w:val="28"/>
          <w:u w:val="single"/>
        </w:rPr>
      </w:pPr>
      <w:r>
        <w:rPr>
          <w:rFonts w:hint="eastAsia" w:ascii="方正仿宋_GBK" w:hAnsi="宋体" w:eastAsia="方正仿宋_GBK"/>
          <w:b/>
          <w:color w:val="000000"/>
          <w:sz w:val="28"/>
          <w:szCs w:val="28"/>
          <w:u w:val="single"/>
        </w:rPr>
        <w:fldChar w:fldCharType="begin"/>
      </w:r>
      <w:r>
        <w:rPr>
          <w:rFonts w:hint="eastAsia" w:ascii="方正仿宋_GBK" w:hAnsi="宋体" w:eastAsia="方正仿宋_GBK"/>
          <w:b/>
          <w:color w:val="000000"/>
          <w:sz w:val="28"/>
          <w:szCs w:val="28"/>
          <w:u w:val="single"/>
        </w:rPr>
        <w:instrText xml:space="preserve"> = 5 \* GB3 </w:instrText>
      </w:r>
      <w:r>
        <w:rPr>
          <w:rFonts w:hint="eastAsia" w:ascii="方正仿宋_GBK" w:hAnsi="宋体" w:eastAsia="方正仿宋_GBK"/>
          <w:b/>
          <w:color w:val="000000"/>
          <w:sz w:val="28"/>
          <w:szCs w:val="28"/>
          <w:u w:val="single"/>
        </w:rPr>
        <w:fldChar w:fldCharType="separate"/>
      </w:r>
      <w:r>
        <w:rPr>
          <w:rFonts w:hint="eastAsia" w:ascii="方正仿宋_GBK" w:hAnsi="宋体" w:eastAsia="方正仿宋_GBK"/>
          <w:b/>
          <w:color w:val="000000"/>
          <w:sz w:val="28"/>
          <w:szCs w:val="28"/>
          <w:u w:val="single"/>
        </w:rPr>
        <w:t>⑤</w:t>
      </w:r>
      <w:r>
        <w:rPr>
          <w:rFonts w:hint="eastAsia" w:ascii="方正仿宋_GBK" w:hAnsi="宋体" w:eastAsia="方正仿宋_GBK"/>
          <w:b/>
          <w:color w:val="000000"/>
          <w:sz w:val="28"/>
          <w:szCs w:val="28"/>
          <w:u w:val="single"/>
        </w:rPr>
        <w:fldChar w:fldCharType="end"/>
      </w:r>
      <w:r>
        <w:rPr>
          <w:rFonts w:hint="eastAsia" w:ascii="方正仿宋_GBK" w:hAnsi="宋体" w:eastAsia="方正仿宋_GBK"/>
          <w:b/>
          <w:color w:val="000000"/>
          <w:sz w:val="28"/>
          <w:szCs w:val="28"/>
          <w:u w:val="single"/>
        </w:rPr>
        <w:t>不符合上述条件的，应重新组织采购。</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5、谈判过程保密</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评审委员会成员不得透露与谈判有关的供应商的技术资料、价格和其他信息。</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在评审期间，若供应商有企图影响采购人的任何活动，此将导致其采购活动即时终止，由此而引发的一切法律后果将由其自行承担。</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成交通知</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eastAsia="方正仿宋_GBK"/>
          <w:color w:val="000000"/>
          <w:sz w:val="28"/>
          <w:szCs w:val="28"/>
        </w:rPr>
        <w:t>评审委员会的评审结果报重庆银行成都分行有权审批部门审批后，即以书面形式向供应商发出成交通知书。成交通知书是供应商与我行签订合同的必要条件。</w:t>
      </w:r>
    </w:p>
    <w:p>
      <w:pPr>
        <w:tabs>
          <w:tab w:val="left" w:pos="540"/>
          <w:tab w:val="left" w:pos="720"/>
        </w:tabs>
        <w:adjustRightInd w:val="0"/>
        <w:snapToGrid w:val="0"/>
        <w:spacing w:line="500" w:lineRule="exact"/>
        <w:ind w:firstLine="560" w:firstLineChars="200"/>
        <w:rPr>
          <w:rFonts w:ascii="方正仿宋_GBK" w:hAnsi="宋体" w:eastAsia="方正仿宋_GBK"/>
          <w:b/>
          <w:color w:val="000000"/>
          <w:sz w:val="28"/>
          <w:szCs w:val="28"/>
        </w:rPr>
      </w:pPr>
      <w:r>
        <w:rPr>
          <w:rFonts w:hint="eastAsia" w:ascii="方正仿宋_GBK" w:hAnsi="宋体" w:eastAsia="方正仿宋_GBK"/>
          <w:color w:val="000000"/>
          <w:sz w:val="28"/>
          <w:szCs w:val="28"/>
        </w:rPr>
        <w:t>采购人无义务向供应商解释采购失败原因，竞争性谈判采购响应文件概不退还。</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highlight w:val="none"/>
        </w:rPr>
      </w:pPr>
      <w:r>
        <w:rPr>
          <w:rFonts w:hint="eastAsia" w:ascii="黑体" w:hAnsi="黑体" w:eastAsia="黑体" w:cs="黑体"/>
          <w:bCs/>
          <w:color w:val="000000"/>
          <w:sz w:val="28"/>
          <w:szCs w:val="28"/>
          <w:highlight w:val="none"/>
        </w:rPr>
        <w:t>履约保证金：</w:t>
      </w:r>
    </w:p>
    <w:p>
      <w:pPr>
        <w:pStyle w:val="2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Times New Roman" w:eastAsia="方正仿宋_GBK" w:cs="Times New Roman"/>
          <w:color w:val="000000"/>
          <w:kern w:val="2"/>
          <w:sz w:val="28"/>
          <w:szCs w:val="28"/>
          <w:lang w:val="en-US" w:eastAsia="zh-CN" w:bidi="ar-SA"/>
        </w:rPr>
      </w:pPr>
      <w:r>
        <w:rPr>
          <w:rFonts w:hint="eastAsia" w:ascii="方正仿宋_GBK" w:hAnsi="Times New Roman" w:eastAsia="方正仿宋_GBK" w:cs="Times New Roman"/>
          <w:color w:val="000000"/>
          <w:kern w:val="2"/>
          <w:sz w:val="28"/>
          <w:szCs w:val="28"/>
          <w:lang w:val="en-US" w:eastAsia="zh-CN" w:bidi="ar-SA"/>
        </w:rPr>
        <w:t>本项目履约保证金按中标单位投标报价的5%收取，产品质保期满后无息归还（产品质保期为安装并验收合格后2年）。</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合同授予</w:t>
      </w:r>
    </w:p>
    <w:p>
      <w:pPr>
        <w:tabs>
          <w:tab w:val="left" w:pos="540"/>
          <w:tab w:val="left" w:pos="720"/>
        </w:tabs>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供应商收到成交通知书后30日内，应按成交通知书中规定的时间、地点与采购人签订书面的</w:t>
      </w:r>
      <w:r>
        <w:rPr>
          <w:rFonts w:hint="eastAsia" w:ascii="方正仿宋_GBK" w:eastAsia="方正仿宋_GBK"/>
          <w:color w:val="000000"/>
          <w:sz w:val="28"/>
          <w:szCs w:val="28"/>
        </w:rPr>
        <w:t>合同</w:t>
      </w:r>
      <w:r>
        <w:rPr>
          <w:rFonts w:hint="eastAsia" w:ascii="方正仿宋_GBK" w:hAnsi="宋体" w:eastAsia="方正仿宋_GBK"/>
          <w:color w:val="000000"/>
          <w:sz w:val="28"/>
          <w:szCs w:val="28"/>
        </w:rPr>
        <w:t>。</w:t>
      </w:r>
      <w:r>
        <w:rPr>
          <w:rFonts w:hint="eastAsia" w:ascii="方正仿宋_GBK" w:eastAsia="方正仿宋_GBK"/>
          <w:color w:val="000000"/>
          <w:sz w:val="28"/>
          <w:szCs w:val="28"/>
        </w:rPr>
        <w:t>合同</w:t>
      </w:r>
      <w:r>
        <w:rPr>
          <w:rFonts w:hint="eastAsia" w:ascii="方正仿宋_GBK" w:hAnsi="宋体" w:eastAsia="方正仿宋_GBK"/>
          <w:color w:val="000000"/>
          <w:sz w:val="28"/>
          <w:szCs w:val="28"/>
        </w:rPr>
        <w:t>的部分条款见本文件第四部分。</w:t>
      </w:r>
    </w:p>
    <w:p>
      <w:pPr>
        <w:tabs>
          <w:tab w:val="left" w:pos="540"/>
          <w:tab w:val="left" w:pos="720"/>
        </w:tabs>
        <w:adjustRightInd w:val="0"/>
        <w:snapToGrid w:val="0"/>
        <w:spacing w:line="500" w:lineRule="exact"/>
        <w:ind w:firstLine="562" w:firstLineChars="200"/>
        <w:rPr>
          <w:rFonts w:ascii="方正仿宋_GBK" w:hAnsi="宋体" w:eastAsia="方正仿宋_GBK"/>
          <w:b/>
          <w:color w:val="000000"/>
          <w:sz w:val="28"/>
          <w:szCs w:val="28"/>
          <w:u w:val="single"/>
        </w:rPr>
      </w:pPr>
      <w:r>
        <w:rPr>
          <w:rFonts w:hint="eastAsia" w:ascii="方正仿宋_GBK" w:hAnsi="宋体" w:eastAsia="方正仿宋_GBK"/>
          <w:b/>
          <w:color w:val="000000"/>
          <w:sz w:val="28"/>
          <w:szCs w:val="28"/>
          <w:u w:val="single"/>
        </w:rPr>
        <w:t>如供应商在规定的时间内拒签合同,则采购人将有权取消其成交资格，没收其采购响应保证金（如有），且两年内不得参与采购人的采购活动。同时给采购人造成损失的，采购人保留向其追偿损失的权利。</w:t>
      </w:r>
    </w:p>
    <w:p>
      <w:pPr>
        <w:numPr>
          <w:ilvl w:val="0"/>
          <w:numId w:val="3"/>
        </w:numPr>
        <w:tabs>
          <w:tab w:val="left" w:pos="540"/>
          <w:tab w:val="left" w:pos="720"/>
        </w:tabs>
        <w:adjustRightInd w:val="0"/>
        <w:snapToGrid w:val="0"/>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其他</w:t>
      </w:r>
    </w:p>
    <w:p>
      <w:pPr>
        <w:numPr>
          <w:ilvl w:val="0"/>
          <w:numId w:val="6"/>
        </w:numPr>
        <w:tabs>
          <w:tab w:val="left" w:pos="0"/>
          <w:tab w:val="left" w:pos="720"/>
          <w:tab w:val="left" w:pos="1018"/>
        </w:tabs>
        <w:adjustRightInd w:val="0"/>
        <w:snapToGrid w:val="0"/>
        <w:spacing w:line="500" w:lineRule="exact"/>
        <w:ind w:firstLine="537" w:firstLineChars="192"/>
        <w:rPr>
          <w:rFonts w:ascii="方正仿宋_GBK" w:hAnsi="宋体" w:eastAsia="方正仿宋_GBK"/>
          <w:color w:val="000000"/>
          <w:sz w:val="28"/>
          <w:szCs w:val="28"/>
        </w:rPr>
      </w:pPr>
      <w:r>
        <w:rPr>
          <w:rFonts w:hint="eastAsia" w:ascii="方正仿宋_GBK" w:hAnsi="宋体" w:eastAsia="方正仿宋_GBK"/>
          <w:color w:val="000000"/>
          <w:sz w:val="28"/>
          <w:szCs w:val="28"/>
        </w:rPr>
        <w:t>凡参加本次谈判的供应商均被视为接受上述采购项目的采购要求。</w:t>
      </w:r>
    </w:p>
    <w:p>
      <w:pPr>
        <w:numPr>
          <w:ilvl w:val="0"/>
          <w:numId w:val="6"/>
        </w:numPr>
        <w:tabs>
          <w:tab w:val="left" w:pos="0"/>
          <w:tab w:val="left" w:pos="720"/>
          <w:tab w:val="left" w:pos="1018"/>
        </w:tabs>
        <w:adjustRightInd w:val="0"/>
        <w:snapToGrid w:val="0"/>
        <w:spacing w:line="500" w:lineRule="exact"/>
        <w:ind w:firstLine="537" w:firstLineChars="192"/>
        <w:rPr>
          <w:rFonts w:ascii="方正仿宋_GBK" w:hAnsi="宋体" w:eastAsia="方正仿宋_GBK"/>
          <w:color w:val="000000"/>
          <w:sz w:val="28"/>
          <w:szCs w:val="28"/>
        </w:rPr>
      </w:pPr>
      <w:r>
        <w:rPr>
          <w:rFonts w:hint="eastAsia" w:ascii="方正仿宋_GBK" w:hAnsi="宋体" w:eastAsia="方正仿宋_GBK"/>
          <w:color w:val="000000"/>
          <w:sz w:val="28"/>
          <w:szCs w:val="28"/>
        </w:rPr>
        <w:t>采购文件从谈判之日起,其有效期为90个工作日。</w:t>
      </w:r>
    </w:p>
    <w:p>
      <w:pPr>
        <w:pStyle w:val="29"/>
      </w:pPr>
      <w:r>
        <w:br w:type="page"/>
      </w:r>
    </w:p>
    <w:p>
      <w:pPr>
        <w:pStyle w:val="3"/>
        <w:spacing w:before="0" w:after="0" w:line="600" w:lineRule="exact"/>
        <w:jc w:val="center"/>
        <w:rPr>
          <w:rFonts w:ascii="方正小标宋_GBK" w:hAnsi="方正小标宋_GBK" w:eastAsia="方正小标宋_GBK" w:cs="方正小标宋_GBK"/>
          <w:b w:val="0"/>
          <w:bCs w:val="0"/>
          <w:sz w:val="36"/>
          <w:szCs w:val="36"/>
        </w:rPr>
      </w:pPr>
      <w:bookmarkStart w:id="3" w:name="_Toc89334190"/>
      <w:bookmarkStart w:id="4" w:name="_Toc89789305"/>
      <w:r>
        <w:rPr>
          <w:rFonts w:hint="eastAsia" w:ascii="方正小标宋_GBK" w:hAnsi="方正小标宋_GBK" w:eastAsia="方正小标宋_GBK" w:cs="方正小标宋_GBK"/>
          <w:b w:val="0"/>
          <w:bCs w:val="0"/>
          <w:sz w:val="36"/>
          <w:szCs w:val="36"/>
        </w:rPr>
        <w:t>第三部分   技术规范</w:t>
      </w:r>
      <w:bookmarkEnd w:id="3"/>
      <w:bookmarkEnd w:id="4"/>
    </w:p>
    <w:p>
      <w:pPr>
        <w:tabs>
          <w:tab w:val="left" w:pos="540"/>
          <w:tab w:val="left" w:pos="720"/>
        </w:tabs>
        <w:spacing w:line="520" w:lineRule="exact"/>
        <w:ind w:firstLine="560" w:firstLineChars="200"/>
        <w:rPr>
          <w:rFonts w:ascii="黑体" w:hAnsi="黑体" w:eastAsia="黑体" w:cs="黑体"/>
          <w:bCs/>
          <w:color w:val="000000"/>
          <w:sz w:val="28"/>
          <w:szCs w:val="28"/>
        </w:rPr>
      </w:pPr>
    </w:p>
    <w:p>
      <w:pPr>
        <w:tabs>
          <w:tab w:val="left" w:pos="540"/>
          <w:tab w:val="left" w:pos="720"/>
        </w:tabs>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一、项目概况</w:t>
      </w:r>
    </w:p>
    <w:p>
      <w:pPr>
        <w:tabs>
          <w:tab w:val="left" w:pos="540"/>
          <w:tab w:val="left" w:pos="720"/>
        </w:tabs>
        <w:spacing w:line="500" w:lineRule="exact"/>
        <w:ind w:firstLine="560" w:firstLineChars="200"/>
        <w:rPr>
          <w:rFonts w:ascii="方正仿宋_GBK" w:eastAsia="方正仿宋_GBK"/>
          <w:sz w:val="28"/>
          <w:szCs w:val="28"/>
        </w:rPr>
      </w:pPr>
      <w:r>
        <w:rPr>
          <w:rFonts w:hint="eastAsia" w:ascii="方正仿宋_GBK" w:eastAsia="方正仿宋_GBK"/>
          <w:sz w:val="28"/>
          <w:szCs w:val="28"/>
        </w:rPr>
        <w:t>本项目为采购重庆银行成都分行本部数据机房、监控中心、UPS机房、档案室等部位配置的13套气体灭火系统。项目包含原有气体灭火系统的拆除（含报废处理）、更换后气体灭火系统的安装、调试、检测等，并新增8个泄压口。</w:t>
      </w:r>
    </w:p>
    <w:p>
      <w:pPr>
        <w:numPr>
          <w:ilvl w:val="0"/>
          <w:numId w:val="7"/>
        </w:numPr>
        <w:tabs>
          <w:tab w:val="left" w:pos="540"/>
          <w:tab w:val="left" w:pos="720"/>
        </w:tabs>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项目依据</w:t>
      </w:r>
    </w:p>
    <w:p>
      <w:pPr>
        <w:pStyle w:val="29"/>
        <w:numPr>
          <w:ilvl w:val="0"/>
          <w:numId w:val="8"/>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《建筑</w:t>
      </w:r>
      <w:r>
        <w:rPr>
          <w:rFonts w:hint="eastAsia" w:ascii="方正仿宋_GBK" w:eastAsia="方正仿宋_GBK" w:cs="Times New Roman"/>
          <w:sz w:val="28"/>
          <w:szCs w:val="28"/>
          <w:lang w:val="en-US" w:eastAsia="zh-CN"/>
        </w:rPr>
        <w:t>防火通用规范</w:t>
      </w:r>
      <w:r>
        <w:rPr>
          <w:rFonts w:hint="eastAsia" w:ascii="方正仿宋_GBK" w:eastAsia="方正仿宋_GBK" w:cs="Times New Roman"/>
          <w:sz w:val="28"/>
          <w:szCs w:val="28"/>
        </w:rPr>
        <w:t>》 GB5</w:t>
      </w:r>
      <w:r>
        <w:rPr>
          <w:rFonts w:hint="eastAsia" w:ascii="方正仿宋_GBK" w:eastAsia="方正仿宋_GBK" w:cs="Times New Roman"/>
          <w:sz w:val="28"/>
          <w:szCs w:val="28"/>
          <w:lang w:val="en-US" w:eastAsia="zh-CN"/>
        </w:rPr>
        <w:t>5037</w:t>
      </w:r>
      <w:r>
        <w:rPr>
          <w:rFonts w:hint="eastAsia" w:ascii="方正仿宋_GBK" w:eastAsia="方正仿宋_GBK" w:cs="Times New Roman"/>
          <w:sz w:val="28"/>
          <w:szCs w:val="28"/>
        </w:rPr>
        <w:t>-20</w:t>
      </w:r>
      <w:r>
        <w:rPr>
          <w:rFonts w:hint="eastAsia" w:ascii="方正仿宋_GBK" w:eastAsia="方正仿宋_GBK" w:cs="Times New Roman"/>
          <w:sz w:val="28"/>
          <w:szCs w:val="28"/>
          <w:lang w:val="en-US" w:eastAsia="zh-CN"/>
        </w:rPr>
        <w:t>22</w:t>
      </w:r>
      <w:r>
        <w:rPr>
          <w:rFonts w:hint="eastAsia" w:ascii="方正仿宋_GBK" w:eastAsia="方正仿宋_GBK" w:cs="Times New Roman"/>
          <w:sz w:val="28"/>
          <w:szCs w:val="28"/>
        </w:rPr>
        <w:t>；</w:t>
      </w:r>
    </w:p>
    <w:p>
      <w:pPr>
        <w:pStyle w:val="29"/>
        <w:numPr>
          <w:ilvl w:val="0"/>
          <w:numId w:val="8"/>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 xml:space="preserve">《气体灭火系统设计规范》 GB50370-2005； </w:t>
      </w:r>
    </w:p>
    <w:p>
      <w:pPr>
        <w:pStyle w:val="29"/>
        <w:numPr>
          <w:ilvl w:val="0"/>
          <w:numId w:val="8"/>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《气体灭火系统施工及验收规范》 GB50263-2007；</w:t>
      </w:r>
    </w:p>
    <w:p>
      <w:pPr>
        <w:pStyle w:val="29"/>
        <w:numPr>
          <w:ilvl w:val="0"/>
          <w:numId w:val="8"/>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w:t>
      </w:r>
      <w:r>
        <w:rPr>
          <w:rFonts w:hint="eastAsia" w:ascii="方正仿宋_GBK" w:eastAsia="方正仿宋_GBK" w:cs="Times New Roman"/>
          <w:sz w:val="28"/>
          <w:szCs w:val="28"/>
          <w:lang w:val="en-US" w:eastAsia="zh-CN"/>
        </w:rPr>
        <w:t>火灾</w:t>
      </w:r>
      <w:r>
        <w:rPr>
          <w:rFonts w:hint="eastAsia" w:ascii="方正仿宋_GBK" w:eastAsia="方正仿宋_GBK" w:cs="Times New Roman"/>
          <w:sz w:val="28"/>
          <w:szCs w:val="28"/>
        </w:rPr>
        <w:t>自动报警系统施工及验收规范》 GB50166-20</w:t>
      </w:r>
      <w:r>
        <w:rPr>
          <w:rFonts w:hint="eastAsia" w:ascii="方正仿宋_GBK" w:eastAsia="方正仿宋_GBK" w:cs="Times New Roman"/>
          <w:sz w:val="28"/>
          <w:szCs w:val="28"/>
          <w:lang w:val="en-US" w:eastAsia="zh-CN"/>
        </w:rPr>
        <w:t>19</w:t>
      </w:r>
      <w:r>
        <w:rPr>
          <w:rFonts w:hint="eastAsia" w:ascii="方正仿宋_GBK" w:eastAsia="方正仿宋_GBK" w:cs="Times New Roman"/>
          <w:sz w:val="28"/>
          <w:szCs w:val="28"/>
        </w:rPr>
        <w:t>。</w:t>
      </w:r>
    </w:p>
    <w:p>
      <w:pPr>
        <w:numPr>
          <w:ilvl w:val="0"/>
          <w:numId w:val="7"/>
        </w:numPr>
        <w:tabs>
          <w:tab w:val="left" w:pos="540"/>
          <w:tab w:val="left" w:pos="720"/>
        </w:tabs>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项目技术要求</w:t>
      </w:r>
    </w:p>
    <w:p>
      <w:pPr>
        <w:pStyle w:val="29"/>
        <w:numPr>
          <w:ilvl w:val="0"/>
          <w:numId w:val="9"/>
        </w:numPr>
        <w:spacing w:line="500" w:lineRule="exact"/>
        <w:ind w:firstLine="560" w:firstLineChars="200"/>
        <w:rPr>
          <w:rFonts w:ascii="方正楷体_GBK" w:hAnsi="方正楷体_GBK" w:eastAsia="方正楷体_GBK" w:cs="方正楷体_GBK"/>
          <w:bCs/>
          <w:color w:val="000000"/>
          <w:sz w:val="28"/>
          <w:szCs w:val="28"/>
        </w:rPr>
      </w:pPr>
      <w:r>
        <w:rPr>
          <w:rFonts w:hint="eastAsia" w:ascii="方正楷体_GBK" w:hAnsi="方正楷体_GBK" w:eastAsia="方正楷体_GBK" w:cs="方正楷体_GBK"/>
          <w:bCs/>
          <w:color w:val="000000"/>
          <w:sz w:val="28"/>
          <w:szCs w:val="28"/>
        </w:rPr>
        <w:t>内容及范围</w:t>
      </w:r>
    </w:p>
    <w:p>
      <w:pPr>
        <w:pStyle w:val="29"/>
        <w:numPr>
          <w:ilvl w:val="0"/>
          <w:numId w:val="10"/>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对原有气体灭火系统（含控制盘、灭火器储罐、感烟感温探测器、柜体线路、应急启动装置等）进行拆除，并按国家相关的消防技术规范报废处理。</w:t>
      </w:r>
    </w:p>
    <w:p>
      <w:pPr>
        <w:pStyle w:val="29"/>
        <w:numPr>
          <w:ilvl w:val="0"/>
          <w:numId w:val="10"/>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安装、调试13套气体灭火系统（含控制盘、灭火器储罐、感烟感温探测器、柜体线路、应急启动装置等），共 9个气体灭火保护区域，选用无管网式七氟丙烷灭火系统 GQQ120L（90L、70L）/2.5，并按规范要求新增8个泄压口。</w:t>
      </w:r>
    </w:p>
    <w:p>
      <w:pPr>
        <w:pStyle w:val="29"/>
        <w:numPr>
          <w:ilvl w:val="0"/>
          <w:numId w:val="10"/>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 xml:space="preserve"> 安装范围为不对外开放区域，施工要求均按照国家现行的规范及规程执行。</w:t>
      </w:r>
    </w:p>
    <w:p>
      <w:pPr>
        <w:pStyle w:val="29"/>
        <w:numPr>
          <w:ilvl w:val="0"/>
          <w:numId w:val="10"/>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详细工程材料见采购清单。</w:t>
      </w:r>
    </w:p>
    <w:p>
      <w:pPr>
        <w:pStyle w:val="29"/>
        <w:numPr>
          <w:ilvl w:val="0"/>
          <w:numId w:val="9"/>
        </w:numPr>
        <w:spacing w:line="500" w:lineRule="exact"/>
        <w:ind w:firstLine="560" w:firstLineChars="200"/>
        <w:rPr>
          <w:rFonts w:ascii="方正楷体_GBK" w:hAnsi="方正楷体_GBK" w:eastAsia="方正楷体_GBK" w:cs="方正楷体_GBK"/>
          <w:bCs/>
          <w:color w:val="000000"/>
          <w:sz w:val="28"/>
          <w:szCs w:val="28"/>
        </w:rPr>
      </w:pPr>
      <w:r>
        <w:rPr>
          <w:rFonts w:hint="eastAsia" w:ascii="方正楷体_GBK" w:hAnsi="方正楷体_GBK" w:eastAsia="方正楷体_GBK" w:cs="方正楷体_GBK"/>
          <w:bCs/>
          <w:color w:val="000000"/>
          <w:sz w:val="28"/>
          <w:szCs w:val="28"/>
        </w:rPr>
        <w:t>施工要求</w:t>
      </w:r>
    </w:p>
    <w:p>
      <w:pPr>
        <w:pStyle w:val="29"/>
        <w:numPr>
          <w:ilvl w:val="0"/>
          <w:numId w:val="11"/>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本项目施工现场为数据机房、监控中心、UPS机房、档案室等部位，因此在施工时尽量避免影响人员办公。在施工时应加强对现场的环境管理，严格控制噪声及粉尘。</w:t>
      </w:r>
    </w:p>
    <w:p>
      <w:pPr>
        <w:pStyle w:val="29"/>
        <w:numPr>
          <w:ilvl w:val="0"/>
          <w:numId w:val="11"/>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气体灭火系统安装完成后必须符合国家相关的消防技术规范及施工标准，能满足上述部位的防火要求，包括可实施联动报警、灭火等功能。</w:t>
      </w:r>
    </w:p>
    <w:p>
      <w:pPr>
        <w:pStyle w:val="29"/>
        <w:numPr>
          <w:ilvl w:val="0"/>
          <w:numId w:val="11"/>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气体灭火系统安装完成后，需保证系统运行可靠性和有效性。投标人须制定详细可行的施工技术方案。</w:t>
      </w:r>
    </w:p>
    <w:p>
      <w:pPr>
        <w:pStyle w:val="29"/>
        <w:numPr>
          <w:ilvl w:val="0"/>
          <w:numId w:val="11"/>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 xml:space="preserve">中标人须向采购人提供相关的技术支持及维护服务。 </w:t>
      </w:r>
    </w:p>
    <w:p>
      <w:pPr>
        <w:pStyle w:val="29"/>
        <w:numPr>
          <w:ilvl w:val="0"/>
          <w:numId w:val="11"/>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项目施工完成后，必须通过具有专业资质的第三方检测机构进行审核和验收。</w:t>
      </w:r>
    </w:p>
    <w:p>
      <w:pPr>
        <w:pStyle w:val="29"/>
        <w:numPr>
          <w:ilvl w:val="0"/>
          <w:numId w:val="11"/>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因本项目施工现场为数据机房、监控中心、UPS机房、档案室等重要部位，上述部位安全管理对人员进出要求较高。为保证项目的有效实施，投标人须委派拟任本项目的项目经理到项目现场进行勘察（须提前 1 个工作日向采购人提出勘察申请，经批准后，拟任本项目的项目经理须携带法定代表人授权委托书原件、身份证原件、项目经理资格证原件、已办理投标报名的证明原件方可进入项目现场）。</w:t>
      </w:r>
    </w:p>
    <w:p>
      <w:pPr>
        <w:pStyle w:val="29"/>
        <w:numPr>
          <w:ilvl w:val="0"/>
          <w:numId w:val="11"/>
        </w:numPr>
        <w:spacing w:line="500" w:lineRule="exact"/>
        <w:ind w:firstLine="560" w:firstLineChars="200"/>
        <w:rPr>
          <w:rFonts w:ascii="方正仿宋_GBK" w:eastAsia="方正仿宋_GBK" w:cs="Times New Roman"/>
          <w:sz w:val="28"/>
          <w:szCs w:val="28"/>
        </w:rPr>
      </w:pPr>
      <w:r>
        <w:rPr>
          <w:rFonts w:hint="eastAsia" w:ascii="方正仿宋_GBK" w:eastAsia="方正仿宋_GBK" w:cs="Times New Roman"/>
          <w:sz w:val="28"/>
          <w:szCs w:val="28"/>
        </w:rPr>
        <w:t>投标人必须为本项目组建专设的项目管理机构，落实管理责任，配备足够的技术力量，确保项目按质、按量、按时完成。投标人在投标文件中须提供拟任本项目的项目经理、 施工员、安全员等专业技术、管理人员名单，并须提供上述人员的资格证，职称证，二代身份证及近3个月的社保证明复印件。在投标文件中承诺并经选定的工程项目经理及相应资质的专业技术、管理人员，在工程实施过程中应依时到场，未经采购人同意，中标人不得擅自调换和撤离。</w:t>
      </w:r>
    </w:p>
    <w:p>
      <w:pPr>
        <w:pStyle w:val="29"/>
        <w:numPr>
          <w:ilvl w:val="0"/>
          <w:numId w:val="9"/>
        </w:numPr>
        <w:spacing w:after="120" w:afterLines="50" w:line="500" w:lineRule="exact"/>
        <w:ind w:firstLine="560" w:firstLineChars="200"/>
        <w:rPr>
          <w:rFonts w:ascii="方正楷体_GBK" w:hAnsi="方正楷体_GBK" w:eastAsia="方正楷体_GBK" w:cs="方正楷体_GBK"/>
          <w:bCs/>
          <w:color w:val="000000"/>
          <w:sz w:val="28"/>
          <w:szCs w:val="28"/>
        </w:rPr>
      </w:pPr>
      <w:r>
        <w:rPr>
          <w:rFonts w:hint="eastAsia" w:ascii="方正楷体_GBK" w:hAnsi="方正楷体_GBK" w:eastAsia="方正楷体_GBK" w:cs="方正楷体_GBK"/>
          <w:bCs/>
          <w:color w:val="000000"/>
          <w:sz w:val="28"/>
          <w:szCs w:val="28"/>
        </w:rPr>
        <w:t>采购清单</w:t>
      </w:r>
    </w:p>
    <w:tbl>
      <w:tblPr>
        <w:tblStyle w:val="2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2490"/>
        <w:gridCol w:w="1710"/>
        <w:gridCol w:w="735"/>
        <w:gridCol w:w="618"/>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9" w:type="dxa"/>
            <w:vAlign w:val="center"/>
          </w:tcPr>
          <w:p>
            <w:pPr>
              <w:widowControl/>
              <w:spacing w:line="320" w:lineRule="exact"/>
              <w:jc w:val="center"/>
              <w:rPr>
                <w:rFonts w:ascii="黑体" w:hAnsi="黑体" w:eastAsia="黑体" w:cs="黑体"/>
                <w:color w:val="000000"/>
                <w:kern w:val="0"/>
                <w:sz w:val="22"/>
                <w:szCs w:val="21"/>
              </w:rPr>
            </w:pPr>
            <w:r>
              <w:rPr>
                <w:rFonts w:hint="eastAsia" w:ascii="黑体" w:hAnsi="黑体" w:eastAsia="黑体" w:cs="黑体"/>
                <w:color w:val="000000"/>
                <w:kern w:val="0"/>
                <w:sz w:val="22"/>
                <w:szCs w:val="21"/>
              </w:rPr>
              <w:t>序号</w:t>
            </w:r>
          </w:p>
        </w:tc>
        <w:tc>
          <w:tcPr>
            <w:tcW w:w="2490" w:type="dxa"/>
            <w:vAlign w:val="center"/>
          </w:tcPr>
          <w:p>
            <w:pPr>
              <w:widowControl/>
              <w:spacing w:line="320" w:lineRule="exact"/>
              <w:jc w:val="center"/>
              <w:rPr>
                <w:rFonts w:ascii="黑体" w:hAnsi="黑体" w:eastAsia="黑体" w:cs="黑体"/>
                <w:color w:val="000000"/>
                <w:kern w:val="0"/>
                <w:sz w:val="22"/>
                <w:szCs w:val="21"/>
              </w:rPr>
            </w:pPr>
            <w:r>
              <w:rPr>
                <w:rFonts w:hint="eastAsia" w:ascii="黑体" w:hAnsi="黑体" w:eastAsia="黑体" w:cs="黑体"/>
                <w:color w:val="000000"/>
                <w:kern w:val="0"/>
                <w:sz w:val="22"/>
                <w:szCs w:val="21"/>
              </w:rPr>
              <w:t>设备名称</w:t>
            </w:r>
          </w:p>
        </w:tc>
        <w:tc>
          <w:tcPr>
            <w:tcW w:w="1710" w:type="dxa"/>
            <w:vAlign w:val="center"/>
          </w:tcPr>
          <w:p>
            <w:pPr>
              <w:widowControl/>
              <w:spacing w:line="320" w:lineRule="exact"/>
              <w:jc w:val="center"/>
              <w:rPr>
                <w:rFonts w:ascii="黑体" w:hAnsi="黑体" w:eastAsia="黑体" w:cs="黑体"/>
                <w:color w:val="000000"/>
                <w:kern w:val="0"/>
                <w:sz w:val="22"/>
                <w:szCs w:val="21"/>
              </w:rPr>
            </w:pPr>
            <w:r>
              <w:rPr>
                <w:rFonts w:hint="eastAsia" w:ascii="黑体" w:hAnsi="黑体" w:eastAsia="黑体" w:cs="黑体"/>
                <w:color w:val="000000"/>
                <w:kern w:val="0"/>
                <w:sz w:val="22"/>
                <w:szCs w:val="21"/>
              </w:rPr>
              <w:t>技术参数</w:t>
            </w:r>
          </w:p>
        </w:tc>
        <w:tc>
          <w:tcPr>
            <w:tcW w:w="735" w:type="dxa"/>
            <w:vAlign w:val="center"/>
          </w:tcPr>
          <w:p>
            <w:pPr>
              <w:widowControl/>
              <w:spacing w:line="320" w:lineRule="exact"/>
              <w:jc w:val="center"/>
              <w:rPr>
                <w:rFonts w:ascii="黑体" w:hAnsi="黑体" w:eastAsia="黑体" w:cs="黑体"/>
                <w:color w:val="000000"/>
                <w:kern w:val="0"/>
                <w:sz w:val="22"/>
                <w:szCs w:val="21"/>
              </w:rPr>
            </w:pPr>
            <w:r>
              <w:rPr>
                <w:rFonts w:hint="eastAsia" w:ascii="黑体" w:hAnsi="黑体" w:eastAsia="黑体" w:cs="黑体"/>
                <w:color w:val="000000"/>
                <w:kern w:val="0"/>
                <w:sz w:val="22"/>
                <w:szCs w:val="21"/>
              </w:rPr>
              <w:t>数量</w:t>
            </w:r>
          </w:p>
        </w:tc>
        <w:tc>
          <w:tcPr>
            <w:tcW w:w="618" w:type="dxa"/>
            <w:vAlign w:val="center"/>
          </w:tcPr>
          <w:p>
            <w:pPr>
              <w:widowControl/>
              <w:spacing w:line="320" w:lineRule="exact"/>
              <w:jc w:val="center"/>
              <w:rPr>
                <w:rFonts w:ascii="黑体" w:hAnsi="黑体" w:eastAsia="黑体" w:cs="黑体"/>
                <w:color w:val="000000"/>
                <w:kern w:val="0"/>
                <w:sz w:val="22"/>
                <w:szCs w:val="21"/>
              </w:rPr>
            </w:pPr>
            <w:r>
              <w:rPr>
                <w:rFonts w:hint="eastAsia" w:ascii="黑体" w:hAnsi="黑体" w:eastAsia="黑体" w:cs="黑体"/>
                <w:color w:val="000000"/>
                <w:kern w:val="0"/>
                <w:sz w:val="22"/>
                <w:szCs w:val="21"/>
              </w:rPr>
              <w:t>单位</w:t>
            </w:r>
          </w:p>
        </w:tc>
        <w:tc>
          <w:tcPr>
            <w:tcW w:w="2461" w:type="dxa"/>
            <w:vAlign w:val="center"/>
          </w:tcPr>
          <w:p>
            <w:pPr>
              <w:widowControl/>
              <w:spacing w:line="320" w:lineRule="exact"/>
              <w:jc w:val="center"/>
              <w:rPr>
                <w:rFonts w:ascii="黑体" w:hAnsi="黑体" w:eastAsia="黑体" w:cs="黑体"/>
                <w:color w:val="000000"/>
                <w:kern w:val="0"/>
                <w:sz w:val="22"/>
                <w:szCs w:val="21"/>
              </w:rPr>
            </w:pPr>
            <w:r>
              <w:rPr>
                <w:rFonts w:hint="eastAsia" w:ascii="黑体" w:hAnsi="黑体" w:eastAsia="黑体" w:cs="黑体"/>
                <w:color w:val="000000"/>
                <w:kern w:val="0"/>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120L气体灭火瓶组</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QMP120/5.3W</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6</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瓶</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pacing w:val="-10"/>
                <w:sz w:val="22"/>
                <w:szCs w:val="21"/>
                <w:shd w:val="clear" w:color="auto" w:fill="FFFFFF"/>
              </w:rPr>
            </w:pPr>
            <w:r>
              <w:rPr>
                <w:rFonts w:hint="eastAsia" w:ascii="方正仿宋_GBK" w:hAnsi="方正仿宋_GBK" w:eastAsia="方正仿宋_GBK" w:cs="方正仿宋_GBK"/>
                <w:color w:val="000000"/>
                <w:spacing w:val="-10"/>
                <w:sz w:val="22"/>
                <w:szCs w:val="21"/>
                <w:shd w:val="clear" w:color="auto" w:fill="FFFFFF"/>
              </w:rPr>
              <w:t>含钢瓶、容器阀、启动阀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2</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90L气体灭火瓶组</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QMP90/5.3W</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5</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瓶</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pacing w:val="-10"/>
                <w:sz w:val="22"/>
                <w:szCs w:val="21"/>
                <w:shd w:val="clear" w:color="auto" w:fill="FFFFFF"/>
              </w:rPr>
            </w:pPr>
            <w:r>
              <w:rPr>
                <w:rFonts w:hint="eastAsia" w:ascii="方正仿宋_GBK" w:hAnsi="方正仿宋_GBK" w:eastAsia="方正仿宋_GBK" w:cs="方正仿宋_GBK"/>
                <w:color w:val="000000"/>
                <w:spacing w:val="-10"/>
                <w:sz w:val="22"/>
                <w:szCs w:val="21"/>
                <w:shd w:val="clear" w:color="auto" w:fill="FFFFFF"/>
              </w:rPr>
              <w:t>含钢瓶、容器阀、启动阀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3</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70L气体灭火瓶组</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QMP70/5.3W</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2</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瓶</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pacing w:val="-10"/>
                <w:sz w:val="22"/>
                <w:szCs w:val="21"/>
                <w:shd w:val="clear" w:color="auto" w:fill="FFFFFF"/>
              </w:rPr>
            </w:pPr>
            <w:r>
              <w:rPr>
                <w:rFonts w:hint="eastAsia" w:ascii="方正仿宋_GBK" w:hAnsi="方正仿宋_GBK" w:eastAsia="方正仿宋_GBK" w:cs="方正仿宋_GBK"/>
                <w:color w:val="000000"/>
                <w:spacing w:val="-10"/>
                <w:sz w:val="22"/>
                <w:szCs w:val="21"/>
                <w:shd w:val="clear" w:color="auto" w:fill="FFFFFF"/>
              </w:rPr>
              <w:t>含钢瓶、容器阀、启动阀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4</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七氟丙烷药剂</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HFC-227ea</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1310</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kg</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5</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灭火剂气体瓶柜</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MQJ</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台</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6</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连接管</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QRG50/5.3W</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条</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DN50,5.3MPa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7</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信号反馈装置</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XF0.8/17.2</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套</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8</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压力表</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2.5MPa</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只</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9</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电磁性驱动装置</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QDQ90N</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只</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10</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气体释放声光警报器</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GST-HX-240B</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16</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台</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11</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紧急启停装置</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GST-LD8328</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8</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台</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12</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输入/输出模块</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GST-8301</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16</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只</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感烟（温）探测器</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JTY-GD-GST</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40</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只</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14</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气体灭火系统控制器</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GST-QKP01</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8</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台</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15</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双绞线</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国标RVS2*1.5</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600</w:t>
            </w:r>
          </w:p>
        </w:tc>
        <w:tc>
          <w:tcPr>
            <w:tcW w:w="618" w:type="dxa"/>
            <w:vAlign w:val="center"/>
          </w:tcPr>
          <w:p>
            <w:pPr>
              <w:adjustRightInd w:val="0"/>
              <w:snapToGrid w:val="0"/>
              <w:spacing w:line="320" w:lineRule="exact"/>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 xml:space="preserve"> 米</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16</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单股铜芯硬线</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国标BV1.5</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200</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米</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17</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sz w:val="22"/>
                <w:szCs w:val="21"/>
                <w:shd w:val="clear" w:color="auto" w:fill="FFFFFF"/>
              </w:rPr>
              <w:t>紧定管</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sz w:val="22"/>
                <w:szCs w:val="21"/>
                <w:shd w:val="clear" w:color="auto" w:fill="FFFFFF"/>
              </w:rPr>
              <w:t>JDG20</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600</w:t>
            </w:r>
          </w:p>
        </w:tc>
        <w:tc>
          <w:tcPr>
            <w:tcW w:w="618" w:type="dxa"/>
            <w:vAlign w:val="center"/>
          </w:tcPr>
          <w:p>
            <w:pPr>
              <w:adjustRightInd w:val="0"/>
              <w:snapToGrid w:val="0"/>
              <w:spacing w:line="320" w:lineRule="exact"/>
              <w:jc w:val="center"/>
            </w:pPr>
            <w:r>
              <w:rPr>
                <w:rFonts w:hint="eastAsia" w:ascii="方正仿宋_GBK" w:hAnsi="方正仿宋_GBK" w:eastAsia="方正仿宋_GBK" w:cs="方正仿宋_GBK"/>
                <w:color w:val="000000"/>
                <w:sz w:val="22"/>
                <w:szCs w:val="21"/>
                <w:shd w:val="clear" w:color="auto" w:fill="FFFFFF"/>
              </w:rPr>
              <w:t>米</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18</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原有气体灭火系统拆除（含报废处理）</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套</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含控制盘、灭火器储罐、感烟感温探测器、柜体线路、应急启动装置等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19</w:t>
            </w:r>
          </w:p>
        </w:tc>
        <w:tc>
          <w:tcPr>
            <w:tcW w:w="249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泄压口</w:t>
            </w:r>
          </w:p>
        </w:tc>
        <w:tc>
          <w:tcPr>
            <w:tcW w:w="1710"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200mm*200mm</w:t>
            </w:r>
          </w:p>
        </w:tc>
        <w:tc>
          <w:tcPr>
            <w:tcW w:w="735"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8</w:t>
            </w:r>
          </w:p>
        </w:tc>
        <w:tc>
          <w:tcPr>
            <w:tcW w:w="618"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个</w:t>
            </w:r>
          </w:p>
        </w:tc>
        <w:tc>
          <w:tcPr>
            <w:tcW w:w="2461" w:type="dxa"/>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根据现场实际条件决定是否安装</w:t>
            </w:r>
          </w:p>
        </w:tc>
      </w:tr>
    </w:tbl>
    <w:p>
      <w:pPr>
        <w:tabs>
          <w:tab w:val="left" w:pos="540"/>
          <w:tab w:val="left" w:pos="720"/>
        </w:tabs>
        <w:adjustRightInd w:val="0"/>
        <w:snapToGrid w:val="0"/>
        <w:spacing w:line="500" w:lineRule="exact"/>
        <w:ind w:firstLine="560" w:firstLineChars="200"/>
        <w:jc w:val="left"/>
        <w:rPr>
          <w:rFonts w:ascii="方正仿宋_GBK" w:hAnsi="宋体" w:eastAsia="方正仿宋_GBK"/>
          <w:color w:val="000000"/>
          <w:sz w:val="28"/>
          <w:szCs w:val="28"/>
        </w:rPr>
      </w:pPr>
      <w:r>
        <w:rPr>
          <w:rFonts w:hint="eastAsia" w:ascii="黑体" w:hAnsi="黑体" w:eastAsia="黑体" w:cs="黑体"/>
          <w:bCs/>
          <w:color w:val="000000"/>
          <w:sz w:val="28"/>
          <w:szCs w:val="28"/>
        </w:rPr>
        <w:t>二、供货时间：</w:t>
      </w:r>
      <w:r>
        <w:rPr>
          <w:rFonts w:hint="eastAsia" w:ascii="方正仿宋_GBK" w:hAnsi="宋体" w:eastAsia="方正仿宋_GBK"/>
          <w:bCs/>
          <w:color w:val="000000"/>
          <w:sz w:val="28"/>
          <w:szCs w:val="28"/>
        </w:rPr>
        <w:t>自合同签订之日起30天内完成安装及验收</w:t>
      </w:r>
      <w:r>
        <w:rPr>
          <w:rFonts w:hint="eastAsia" w:ascii="方正仿宋_GBK" w:hAnsi="宋体" w:eastAsia="方正仿宋_GBK"/>
          <w:color w:val="000000"/>
          <w:sz w:val="28"/>
          <w:szCs w:val="28"/>
          <w:lang w:val="ru-RU"/>
        </w:rPr>
        <w:t>。</w:t>
      </w:r>
      <w:r>
        <w:rPr>
          <w:rFonts w:hint="eastAsia" w:ascii="方正仿宋_GBK" w:hAnsi="宋体" w:eastAsia="方正仿宋_GBK"/>
          <w:color w:val="000000"/>
          <w:sz w:val="28"/>
          <w:szCs w:val="28"/>
        </w:rPr>
        <w:t xml:space="preserve"> </w:t>
      </w:r>
    </w:p>
    <w:p>
      <w:pPr>
        <w:tabs>
          <w:tab w:val="left" w:pos="540"/>
          <w:tab w:val="left" w:pos="720"/>
        </w:tabs>
        <w:adjustRightInd w:val="0"/>
        <w:snapToGrid w:val="0"/>
        <w:spacing w:line="500" w:lineRule="exact"/>
        <w:ind w:firstLine="560" w:firstLineChars="200"/>
        <w:jc w:val="left"/>
        <w:rPr>
          <w:rFonts w:ascii="方正仿宋_GBK" w:hAnsi="宋体" w:eastAsia="方正仿宋_GBK"/>
          <w:bCs/>
          <w:color w:val="000000"/>
          <w:sz w:val="28"/>
          <w:szCs w:val="28"/>
        </w:rPr>
      </w:pPr>
      <w:r>
        <w:rPr>
          <w:rFonts w:hint="eastAsia" w:ascii="黑体" w:hAnsi="黑体" w:eastAsia="黑体" w:cs="黑体"/>
          <w:bCs/>
          <w:color w:val="000000"/>
          <w:sz w:val="28"/>
          <w:szCs w:val="28"/>
        </w:rPr>
        <w:t>三、交货/安装地点：</w:t>
      </w:r>
      <w:r>
        <w:rPr>
          <w:rFonts w:hint="eastAsia" w:ascii="方正仿宋_GBK" w:hAnsi="宋体" w:eastAsia="方正仿宋_GBK"/>
          <w:bCs/>
          <w:color w:val="000000"/>
          <w:sz w:val="28"/>
          <w:szCs w:val="28"/>
        </w:rPr>
        <w:t>重庆银行成都分行</w:t>
      </w:r>
    </w:p>
    <w:p>
      <w:pPr>
        <w:tabs>
          <w:tab w:val="left" w:pos="540"/>
          <w:tab w:val="left" w:pos="720"/>
        </w:tabs>
        <w:adjustRightInd w:val="0"/>
        <w:snapToGrid w:val="0"/>
        <w:spacing w:line="500" w:lineRule="exact"/>
        <w:ind w:firstLine="560" w:firstLineChars="200"/>
        <w:jc w:val="left"/>
        <w:rPr>
          <w:rFonts w:ascii="黑体" w:hAnsi="黑体" w:eastAsia="黑体" w:cs="黑体"/>
          <w:bCs/>
          <w:color w:val="000000"/>
          <w:sz w:val="28"/>
          <w:szCs w:val="28"/>
        </w:rPr>
      </w:pPr>
      <w:r>
        <w:rPr>
          <w:rFonts w:hint="eastAsia" w:ascii="黑体" w:hAnsi="黑体" w:eastAsia="黑体" w:cs="黑体"/>
          <w:bCs/>
          <w:color w:val="000000"/>
          <w:sz w:val="28"/>
          <w:szCs w:val="28"/>
        </w:rPr>
        <w:t>四、报价要求：</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1、报单价及总价。</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2、本项目总价最高限价为28万元，超过此限价做无效报价处理。</w:t>
      </w:r>
    </w:p>
    <w:p>
      <w:pPr>
        <w:adjustRightInd w:val="0"/>
        <w:snapToGrid w:val="0"/>
        <w:spacing w:line="500" w:lineRule="exact"/>
        <w:ind w:firstLine="560" w:firstLineChars="200"/>
        <w:rPr>
          <w:rFonts w:ascii="方正仿宋_GBK" w:eastAsia="方正仿宋_GBK"/>
          <w:bCs/>
          <w:color w:val="000000"/>
          <w:sz w:val="28"/>
        </w:rPr>
      </w:pPr>
      <w:r>
        <w:rPr>
          <w:rFonts w:hint="eastAsia" w:ascii="方正仿宋_GBK" w:eastAsia="方正仿宋_GBK"/>
          <w:bCs/>
          <w:color w:val="000000"/>
          <w:sz w:val="28"/>
        </w:rPr>
        <w:t>3、</w:t>
      </w:r>
      <w:r>
        <w:rPr>
          <w:rFonts w:hint="eastAsia" w:ascii="方正仿宋_GBK" w:hAnsi="宋体" w:eastAsia="方正仿宋_GBK"/>
          <w:color w:val="000000"/>
          <w:sz w:val="28"/>
          <w:szCs w:val="28"/>
        </w:rPr>
        <w:t>报价为完成本项目所要求服务的整体包干价，应包含完成项目所需的货物及随机附件（包括安装工具）、材料、备品备件的采购、检测、试验、包装、运输、保险、税费、安装、检验、调试、试运行、验收、培训、技术服务（包括提供技术资料、图纸、操作及培训手册等）、质保期保障、项目管理、第三方软件费，以及投标人认为必要的其他货物、材料、工程与服务等所有费用。</w:t>
      </w:r>
    </w:p>
    <w:p>
      <w:pPr>
        <w:tabs>
          <w:tab w:val="left" w:pos="540"/>
          <w:tab w:val="left" w:pos="720"/>
        </w:tabs>
        <w:adjustRightInd w:val="0"/>
        <w:snapToGrid w:val="0"/>
        <w:spacing w:line="500" w:lineRule="exact"/>
        <w:ind w:firstLine="560" w:firstLineChars="200"/>
        <w:rPr>
          <w:rFonts w:ascii="方正仿宋_GBK" w:hAnsi="宋体" w:eastAsia="方正仿宋_GBK"/>
          <w:b/>
          <w:color w:val="000000"/>
          <w:sz w:val="28"/>
          <w:szCs w:val="28"/>
        </w:rPr>
      </w:pPr>
      <w:r>
        <w:rPr>
          <w:rFonts w:hint="eastAsia" w:ascii="方正仿宋_GBK" w:eastAsia="方正仿宋_GBK"/>
          <w:bCs/>
          <w:color w:val="000000"/>
          <w:sz w:val="28"/>
        </w:rPr>
        <w:t>4、中标人提交的发票必须是可全额抵扣的一般纳税人增值税专用发票。</w:t>
      </w:r>
    </w:p>
    <w:p>
      <w:pPr>
        <w:tabs>
          <w:tab w:val="left" w:pos="540"/>
          <w:tab w:val="left" w:pos="720"/>
        </w:tabs>
        <w:adjustRightInd w:val="0"/>
        <w:snapToGrid w:val="0"/>
        <w:spacing w:line="500" w:lineRule="exact"/>
        <w:ind w:firstLine="560" w:firstLineChars="200"/>
        <w:jc w:val="left"/>
        <w:rPr>
          <w:rFonts w:ascii="黑体" w:hAnsi="黑体" w:eastAsia="黑体" w:cs="黑体"/>
          <w:bCs/>
          <w:color w:val="000000"/>
          <w:sz w:val="28"/>
          <w:szCs w:val="28"/>
          <w:highlight w:val="none"/>
        </w:rPr>
      </w:pPr>
      <w:r>
        <w:rPr>
          <w:rFonts w:hint="eastAsia" w:ascii="黑体" w:hAnsi="黑体" w:eastAsia="黑体" w:cs="黑体"/>
          <w:bCs/>
          <w:color w:val="000000"/>
          <w:sz w:val="28"/>
          <w:szCs w:val="28"/>
          <w:highlight w:val="none"/>
        </w:rPr>
        <w:t>五、履约保证金</w:t>
      </w:r>
    </w:p>
    <w:p>
      <w:pPr>
        <w:tabs>
          <w:tab w:val="left" w:pos="540"/>
          <w:tab w:val="left" w:pos="720"/>
        </w:tabs>
        <w:adjustRightInd w:val="0"/>
        <w:snapToGrid w:val="0"/>
        <w:spacing w:line="500" w:lineRule="exact"/>
        <w:ind w:firstLine="560" w:firstLineChars="200"/>
        <w:jc w:val="left"/>
        <w:rPr>
          <w:rFonts w:hint="eastAsia" w:ascii="方正仿宋_GBK" w:hAnsi="宋体" w:eastAsia="方正仿宋_GBK"/>
          <w:color w:val="000000"/>
          <w:sz w:val="28"/>
          <w:szCs w:val="28"/>
        </w:rPr>
      </w:pPr>
      <w:r>
        <w:rPr>
          <w:rFonts w:hint="eastAsia" w:ascii="方正仿宋_GBK" w:hAnsi="宋体" w:eastAsia="方正仿宋_GBK"/>
          <w:color w:val="000000"/>
          <w:sz w:val="28"/>
          <w:szCs w:val="28"/>
        </w:rPr>
        <w:t>按中标单位投标报价的5%收取，产品质保期满后无息归还（产品质保期为安装并验收合格后2年）。</w:t>
      </w:r>
    </w:p>
    <w:p>
      <w:pPr>
        <w:tabs>
          <w:tab w:val="left" w:pos="540"/>
          <w:tab w:val="left" w:pos="720"/>
        </w:tabs>
        <w:adjustRightInd w:val="0"/>
        <w:snapToGrid w:val="0"/>
        <w:spacing w:line="500" w:lineRule="exact"/>
        <w:ind w:firstLine="560" w:firstLineChars="200"/>
        <w:jc w:val="left"/>
        <w:rPr>
          <w:rFonts w:ascii="黑体" w:hAnsi="黑体" w:eastAsia="黑体" w:cs="黑体"/>
          <w:bCs/>
          <w:color w:val="000000"/>
          <w:sz w:val="28"/>
          <w:szCs w:val="28"/>
        </w:rPr>
      </w:pPr>
      <w:r>
        <w:rPr>
          <w:rFonts w:hint="eastAsia" w:ascii="黑体" w:hAnsi="黑体" w:eastAsia="黑体" w:cs="黑体"/>
          <w:bCs/>
          <w:color w:val="000000"/>
          <w:sz w:val="28"/>
          <w:szCs w:val="28"/>
        </w:rPr>
        <w:t>六、售后服务要求</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1、质量保修期：验收合格之日起 2 年。</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2、质保期内，如设备或零部件因非人为因素出现故障而造成短期停用时，则质保期和免费维修期相应顺延。如停用时间累计超过 60 天则质保期重新计算。在质保期内，如因设备或零部件质量问题造成采购人或第三方人身财产损失的，中标人应承担全部责任。</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3、对采购人的服务通知，中标人在接报后 0.5小时内响应，2小时内到达现场， 24小时内处理完毕。若在48小时内仍未能有效解决，中标人须免费提供同档次的设备予采购人临时使用。</w:t>
      </w:r>
    </w:p>
    <w:p>
      <w:pPr>
        <w:tabs>
          <w:tab w:val="left" w:pos="540"/>
          <w:tab w:val="left" w:pos="720"/>
        </w:tabs>
        <w:adjustRightInd w:val="0"/>
        <w:snapToGrid w:val="0"/>
        <w:spacing w:line="500" w:lineRule="exact"/>
        <w:ind w:firstLine="560" w:firstLineChars="200"/>
        <w:jc w:val="left"/>
        <w:rPr>
          <w:rFonts w:ascii="黑体" w:hAnsi="黑体" w:eastAsia="黑体" w:cs="黑体"/>
          <w:bCs/>
          <w:color w:val="000000"/>
          <w:sz w:val="28"/>
          <w:szCs w:val="28"/>
        </w:rPr>
      </w:pPr>
      <w:r>
        <w:rPr>
          <w:rFonts w:hint="eastAsia" w:ascii="黑体" w:hAnsi="黑体" w:eastAsia="黑体" w:cs="黑体"/>
          <w:bCs/>
          <w:color w:val="000000"/>
          <w:sz w:val="28"/>
          <w:szCs w:val="28"/>
        </w:rPr>
        <w:t>七、质量及验收要求</w:t>
      </w:r>
    </w:p>
    <w:p>
      <w:pPr>
        <w:pStyle w:val="54"/>
        <w:spacing w:line="600" w:lineRule="exact"/>
        <w:ind w:firstLine="560" w:firstLineChars="200"/>
        <w:rPr>
          <w:rFonts w:ascii="方正仿宋_GBK" w:eastAsia="方正仿宋_GBK"/>
          <w:bCs/>
          <w:color w:val="000000"/>
          <w:sz w:val="28"/>
          <w:highlight w:val="yellow"/>
        </w:rPr>
      </w:pPr>
      <w:r>
        <w:rPr>
          <w:rFonts w:hint="eastAsia" w:ascii="方正仿宋_GBK" w:eastAsia="方正仿宋_GBK"/>
          <w:bCs/>
          <w:color w:val="000000"/>
          <w:sz w:val="28"/>
        </w:rPr>
        <w:t>1、经采购人认可的第三方检测机构检测合格并出具检测报告后，采购人再对工程进</w:t>
      </w:r>
      <w:r>
        <w:rPr>
          <w:rFonts w:hint="eastAsia" w:ascii="方正仿宋_GBK" w:hAnsi="宋体" w:eastAsia="方正仿宋_GBK"/>
          <w:color w:val="000000" w:themeColor="text1"/>
          <w:sz w:val="28"/>
          <w:szCs w:val="28"/>
          <w14:textFill>
            <w14:solidFill>
              <w14:schemeClr w14:val="tx1"/>
            </w14:solidFill>
          </w14:textFill>
        </w:rPr>
        <w:t>行综合验收。综合验收合格后，</w:t>
      </w:r>
      <w:r>
        <w:rPr>
          <w:rFonts w:hint="eastAsia" w:ascii="方正仿宋_GBK" w:eastAsia="方正仿宋_GBK"/>
          <w:bCs/>
          <w:color w:val="000000"/>
          <w:sz w:val="28"/>
        </w:rPr>
        <w:t>方可投入正式运行。</w:t>
      </w:r>
      <w:r>
        <w:rPr>
          <w:rFonts w:hint="eastAsia" w:ascii="方正仿宋_GBK" w:eastAsia="方正仿宋_GBK"/>
          <w:bCs/>
          <w:color w:val="000000"/>
          <w:sz w:val="28"/>
          <w:highlight w:val="none"/>
        </w:rPr>
        <w:t>另外，在质保期内，中标人须提供不少于每月一次的功能巡检，并出具巡检报告。</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2、产品的检验和验收依照国家有关标准、规范和行业标准及本次招标技术要求执行。</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3、采购人有权随时派出人员对产品生产过程进行抽查和监督，中标人有义务为采购人提供服务。</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4、中标人在发货、安装前，应对所有产品进行全面的检验，比如对质量、外观、规格、性能、数量等方面进行详细检测、查验、核对。</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5、在质量保修期内，若发现产品质量、规格与合同条款不符，采购人保留向中标人要求赔偿损失的权利。</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6、综合验收时，如果出现产品安装质量问题和非采购人造成的损伤，由中标人包换。</w:t>
      </w:r>
    </w:p>
    <w:p>
      <w:pPr>
        <w:tabs>
          <w:tab w:val="left" w:pos="540"/>
          <w:tab w:val="left" w:pos="720"/>
        </w:tabs>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八、付款条件</w:t>
      </w:r>
    </w:p>
    <w:p>
      <w:pPr>
        <w:tabs>
          <w:tab w:val="left" w:pos="540"/>
          <w:tab w:val="left" w:pos="720"/>
          <w:tab w:val="left" w:pos="1248"/>
        </w:tabs>
        <w:adjustRightInd w:val="0"/>
        <w:snapToGrid w:val="0"/>
        <w:spacing w:line="500" w:lineRule="exact"/>
        <w:ind w:firstLine="548" w:firstLineChars="196"/>
        <w:rPr>
          <w:rFonts w:ascii="方正仿宋_GBK" w:hAnsi="Calibri" w:eastAsia="方正仿宋_GBK"/>
          <w:bCs/>
          <w:color w:val="000000"/>
          <w:sz w:val="28"/>
        </w:rPr>
      </w:pPr>
      <w:r>
        <w:rPr>
          <w:rFonts w:hint="eastAsia" w:ascii="方正仿宋_GBK" w:hAnsi="Calibri" w:eastAsia="方正仿宋_GBK"/>
          <w:bCs/>
          <w:color w:val="000000"/>
          <w:sz w:val="28"/>
        </w:rPr>
        <w:t>安装调试完毕后，在中标人提供具有专业资质的第三方检测机构出具的检测报告10日内，由采购人</w:t>
      </w:r>
      <w:r>
        <w:rPr>
          <w:rFonts w:hint="eastAsia" w:ascii="方正仿宋_GBK" w:hAnsi="宋体" w:eastAsia="方正仿宋_GBK"/>
          <w:color w:val="000000" w:themeColor="text1"/>
          <w:sz w:val="28"/>
          <w:szCs w:val="28"/>
          <w14:textFill>
            <w14:solidFill>
              <w14:schemeClr w14:val="tx1"/>
            </w14:solidFill>
          </w14:textFill>
        </w:rPr>
        <w:t>对工程进行综合验收。综合验收合格后，采购</w:t>
      </w:r>
      <w:r>
        <w:rPr>
          <w:rFonts w:hint="eastAsia" w:ascii="方正仿宋_GBK" w:hAnsi="Calibri" w:eastAsia="方正仿宋_GBK"/>
          <w:bCs/>
          <w:color w:val="000000"/>
          <w:sz w:val="28"/>
        </w:rPr>
        <w:t>人根据实际工程量结算支付工程价款。</w:t>
      </w:r>
    </w:p>
    <w:p>
      <w:pPr>
        <w:tabs>
          <w:tab w:val="left" w:pos="540"/>
          <w:tab w:val="left" w:pos="720"/>
        </w:tabs>
        <w:spacing w:line="500" w:lineRule="exact"/>
        <w:ind w:firstLine="560" w:firstLineChars="200"/>
        <w:rPr>
          <w:rFonts w:ascii="黑体" w:hAnsi="黑体" w:eastAsia="黑体" w:cs="黑体"/>
          <w:bCs/>
          <w:color w:val="000000"/>
          <w:sz w:val="28"/>
          <w:szCs w:val="28"/>
        </w:rPr>
      </w:pPr>
      <w:r>
        <w:rPr>
          <w:rFonts w:hint="eastAsia" w:ascii="黑体" w:hAnsi="黑体" w:eastAsia="黑体" w:cs="黑体"/>
          <w:bCs/>
          <w:color w:val="000000"/>
          <w:sz w:val="28"/>
          <w:szCs w:val="28"/>
        </w:rPr>
        <w:t>十、其他要求</w:t>
      </w:r>
    </w:p>
    <w:p>
      <w:pPr>
        <w:adjustRightInd w:val="0"/>
        <w:snapToGrid w:val="0"/>
        <w:spacing w:line="50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1、所有设备和备件由中标人安装,所有接线由中标人提供。中标人必须派出技术人员到现场进行安装、调试，相关费用已包含在投标价内。</w:t>
      </w:r>
    </w:p>
    <w:p>
      <w:pPr>
        <w:pStyle w:val="54"/>
        <w:spacing w:line="50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楷体_GBK" w:hAnsi="方正楷体_GBK" w:eastAsia="方正楷体_GBK" w:cs="方正楷体_GBK"/>
          <w:color w:val="000000" w:themeColor="text1"/>
          <w:sz w:val="28"/>
          <w:szCs w:val="28"/>
          <w14:textFill>
            <w14:solidFill>
              <w14:schemeClr w14:val="tx1"/>
            </w14:solidFill>
          </w14:textFill>
        </w:rPr>
        <w:t>2、</w:t>
      </w:r>
      <w:r>
        <w:rPr>
          <w:rFonts w:hint="eastAsia" w:ascii="方正仿宋_GBK" w:hAnsi="宋体" w:eastAsia="方正仿宋_GBK"/>
          <w:color w:val="000000" w:themeColor="text1"/>
          <w:sz w:val="28"/>
          <w:szCs w:val="28"/>
          <w14:textFill>
            <w14:solidFill>
              <w14:schemeClr w14:val="tx1"/>
            </w14:solidFill>
          </w14:textFill>
        </w:rPr>
        <w:t>因中标人原因造成项目质量不合格，均由中标人负责返工，并承担一切经济损失。</w:t>
      </w:r>
    </w:p>
    <w:p>
      <w:pPr>
        <w:pStyle w:val="54"/>
        <w:spacing w:line="500" w:lineRule="exact"/>
        <w:ind w:firstLine="56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3、</w:t>
      </w:r>
      <w:r>
        <w:rPr>
          <w:rFonts w:hint="eastAsia" w:ascii="方正仿宋_GBK" w:hAnsi="宋体" w:eastAsia="方正仿宋_GBK"/>
          <w:color w:val="000000" w:themeColor="text1"/>
          <w:sz w:val="28"/>
          <w:szCs w:val="28"/>
          <w:lang w:val="ru-RU"/>
          <w14:textFill>
            <w14:solidFill>
              <w14:schemeClr w14:val="tx1"/>
            </w14:solidFill>
          </w14:textFill>
        </w:rPr>
        <w:t>中标人所提供货物跟与之相关联的硬件、软件产品应为原厂正版产品。出现兼容性问题时，供应商须积极配合，与有关硬件、软件厂商和行方用户接洽，及时定位问题原因、寻求解决方案。</w:t>
      </w:r>
      <w:r>
        <w:rPr>
          <w:rFonts w:hint="eastAsia" w:ascii="方正仿宋_GBK" w:hAnsi="宋体" w:eastAsia="方正仿宋_GBK"/>
          <w:color w:val="000000" w:themeColor="text1"/>
          <w:sz w:val="28"/>
          <w:szCs w:val="28"/>
          <w14:textFill>
            <w14:solidFill>
              <w14:schemeClr w14:val="tx1"/>
            </w14:solidFill>
          </w14:textFill>
        </w:rPr>
        <w:t xml:space="preserve"> </w:t>
      </w:r>
    </w:p>
    <w:p>
      <w:pPr>
        <w:pStyle w:val="54"/>
        <w:spacing w:line="50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4、中标人不能在约定的时间内完成工程（非采购人原因引起的），则每延迟一天，处以中标人200元/天的违约金，并没收履约保证金的10%；如延迟时间超过10天，则没收全部的履约保证金。如逾期超过30天以上，采购人有权终止合同，并根据合同约定方式追究中标人责任。</w:t>
      </w:r>
    </w:p>
    <w:p>
      <w:pPr>
        <w:pStyle w:val="54"/>
        <w:spacing w:line="500" w:lineRule="exact"/>
        <w:ind w:firstLine="57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5、若中标人出现以次充好或不能在约定时间内完成安装售后服务的情况，采购人有权中止采购合同，并保留采用法律手段追偿的权利。</w:t>
      </w:r>
      <w:bookmarkStart w:id="5" w:name="_Toc89789306"/>
    </w:p>
    <w:p>
      <w:pPr>
        <w:pStyle w:val="29"/>
        <w:spacing w:line="500" w:lineRule="exact"/>
      </w:pPr>
      <w:r>
        <w:br w:type="page"/>
      </w:r>
    </w:p>
    <w:p>
      <w:pPr>
        <w:pStyle w:val="54"/>
        <w:spacing w:line="600" w:lineRule="exact"/>
        <w:ind w:firstLine="0" w:firstLineChars="0"/>
        <w:jc w:val="center"/>
        <w:rPr>
          <w:color w:val="000000"/>
          <w:sz w:val="36"/>
          <w:szCs w:val="36"/>
        </w:rPr>
      </w:pPr>
      <w:r>
        <w:rPr>
          <w:rFonts w:hint="eastAsia"/>
          <w:color w:val="000000"/>
          <w:sz w:val="36"/>
          <w:szCs w:val="36"/>
        </w:rPr>
        <w:t>第四部分</w:t>
      </w:r>
      <w:r>
        <w:rPr>
          <w:color w:val="000000"/>
          <w:sz w:val="36"/>
          <w:szCs w:val="36"/>
        </w:rPr>
        <w:t>  </w:t>
      </w:r>
      <w:r>
        <w:rPr>
          <w:rFonts w:hint="eastAsia"/>
          <w:color w:val="000000"/>
          <w:sz w:val="36"/>
          <w:szCs w:val="36"/>
        </w:rPr>
        <w:t>合同条款（部分）</w:t>
      </w:r>
      <w:bookmarkEnd w:id="5"/>
    </w:p>
    <w:p>
      <w:pPr>
        <w:snapToGrid w:val="0"/>
        <w:spacing w:line="600" w:lineRule="atLeas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以下合同内容为部分条款，如与采购文件其他内容要求不一致的，以采购文件其他内容要求为准。</w:t>
      </w:r>
    </w:p>
    <w:p>
      <w:pPr>
        <w:spacing w:line="480" w:lineRule="auto"/>
        <w:jc w:val="center"/>
        <w:rPr>
          <w:rFonts w:ascii="宋体" w:hAnsi="宋体" w:cs="宋体"/>
          <w:b/>
          <w:sz w:val="48"/>
          <w:szCs w:val="48"/>
        </w:rPr>
      </w:pPr>
    </w:p>
    <w:p>
      <w:pPr>
        <w:spacing w:line="480" w:lineRule="auto"/>
        <w:jc w:val="center"/>
        <w:rPr>
          <w:rFonts w:ascii="宋体" w:hAnsi="宋体" w:cs="宋体"/>
          <w:b/>
          <w:sz w:val="48"/>
          <w:szCs w:val="48"/>
        </w:rPr>
      </w:pPr>
      <w:r>
        <w:rPr>
          <w:rFonts w:hint="eastAsia" w:ascii="宋体" w:hAnsi="宋体" w:cs="宋体"/>
          <w:b/>
          <w:sz w:val="48"/>
          <w:szCs w:val="48"/>
        </w:rPr>
        <w:t>重庆银行成都分行气体灭火系列</w:t>
      </w:r>
    </w:p>
    <w:p>
      <w:pPr>
        <w:spacing w:line="480" w:lineRule="auto"/>
        <w:jc w:val="center"/>
        <w:rPr>
          <w:rFonts w:ascii="宋体" w:hAnsi="宋体" w:cs="宋体"/>
          <w:b/>
          <w:sz w:val="48"/>
          <w:szCs w:val="48"/>
        </w:rPr>
      </w:pPr>
      <w:r>
        <w:rPr>
          <w:rFonts w:hint="eastAsia" w:ascii="宋体" w:hAnsi="宋体" w:cs="宋体"/>
          <w:b/>
          <w:sz w:val="48"/>
          <w:szCs w:val="48"/>
        </w:rPr>
        <w:t>采购项目合同</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30"/>
          <w:szCs w:val="30"/>
        </w:rPr>
      </w:pPr>
      <w:r>
        <w:rPr>
          <w:rFonts w:hint="eastAsia" w:ascii="宋体" w:hAnsi="宋体"/>
          <w:sz w:val="30"/>
          <w:szCs w:val="30"/>
        </w:rPr>
        <w:t>签订时间：  年  月  日</w:t>
      </w:r>
    </w:p>
    <w:p>
      <w:pPr>
        <w:pStyle w:val="10"/>
        <w:spacing w:before="240" w:line="620" w:lineRule="exact"/>
        <w:rPr>
          <w:rFonts w:ascii="方正仿宋_GBK" w:eastAsia="方正仿宋_GBK"/>
          <w:szCs w:val="32"/>
        </w:rPr>
      </w:pPr>
    </w:p>
    <w:p>
      <w:pPr>
        <w:snapToGrid w:val="0"/>
        <w:spacing w:line="600" w:lineRule="atLeast"/>
        <w:ind w:firstLine="562" w:firstLineChars="200"/>
        <w:rPr>
          <w:rFonts w:ascii="仿宋_GB2312" w:hAnsi="宋体" w:eastAsia="仿宋_GB2312"/>
          <w:b/>
          <w:color w:val="000000"/>
          <w:sz w:val="28"/>
          <w:szCs w:val="28"/>
        </w:rPr>
      </w:pPr>
    </w:p>
    <w:p>
      <w:pPr>
        <w:pStyle w:val="10"/>
        <w:spacing w:before="240" w:line="620" w:lineRule="exact"/>
        <w:rPr>
          <w:rFonts w:ascii="方正仿宋_GBK" w:eastAsia="方正仿宋_GBK"/>
          <w:szCs w:val="32"/>
        </w:rPr>
      </w:pPr>
      <w:r>
        <w:rPr>
          <w:rFonts w:hint="eastAsia" w:ascii="方正仿宋_GBK" w:eastAsia="方正仿宋_GBK"/>
          <w:szCs w:val="32"/>
        </w:rPr>
        <w:t>甲方：重庆银行股份有限公司成都分行</w:t>
      </w:r>
    </w:p>
    <w:p>
      <w:pPr>
        <w:pStyle w:val="10"/>
        <w:spacing w:line="620" w:lineRule="exact"/>
        <w:rPr>
          <w:rFonts w:ascii="方正仿宋_GBK" w:eastAsia="方正仿宋_GBK"/>
          <w:szCs w:val="32"/>
        </w:rPr>
      </w:pPr>
      <w:r>
        <w:rPr>
          <w:rFonts w:hint="eastAsia" w:ascii="方正仿宋_GBK" w:eastAsia="方正仿宋_GBK"/>
          <w:szCs w:val="32"/>
        </w:rPr>
        <w:t>地址：</w:t>
      </w:r>
    </w:p>
    <w:p>
      <w:pPr>
        <w:pStyle w:val="10"/>
        <w:spacing w:line="620" w:lineRule="exact"/>
        <w:rPr>
          <w:rFonts w:ascii="方正仿宋_GBK" w:eastAsia="方正仿宋_GBK"/>
          <w:szCs w:val="32"/>
        </w:rPr>
      </w:pPr>
      <w:r>
        <w:rPr>
          <w:rFonts w:hint="eastAsia" w:ascii="方正仿宋_GBK" w:eastAsia="方正仿宋_GBK"/>
          <w:szCs w:val="32"/>
        </w:rPr>
        <w:t>邮政编码：</w:t>
      </w:r>
    </w:p>
    <w:p>
      <w:pPr>
        <w:pStyle w:val="10"/>
        <w:spacing w:line="620" w:lineRule="exact"/>
        <w:rPr>
          <w:rFonts w:ascii="方正仿宋_GBK" w:eastAsia="方正仿宋_GBK"/>
          <w:szCs w:val="32"/>
        </w:rPr>
      </w:pPr>
      <w:r>
        <w:rPr>
          <w:rFonts w:hint="eastAsia" w:ascii="方正仿宋_GBK" w:eastAsia="方正仿宋_GBK"/>
          <w:szCs w:val="32"/>
        </w:rPr>
        <w:t>联系电话：</w:t>
      </w:r>
    </w:p>
    <w:p>
      <w:pPr>
        <w:pStyle w:val="10"/>
        <w:spacing w:line="620" w:lineRule="exact"/>
        <w:rPr>
          <w:rFonts w:ascii="方正仿宋_GBK" w:eastAsia="方正仿宋_GBK"/>
          <w:szCs w:val="32"/>
        </w:rPr>
      </w:pPr>
    </w:p>
    <w:p>
      <w:pPr>
        <w:pStyle w:val="10"/>
        <w:spacing w:line="620" w:lineRule="exact"/>
        <w:rPr>
          <w:rFonts w:ascii="方正仿宋_GBK" w:eastAsia="方正仿宋_GBK"/>
          <w:szCs w:val="32"/>
        </w:rPr>
      </w:pPr>
      <w:r>
        <w:rPr>
          <w:rFonts w:hint="eastAsia" w:ascii="方正仿宋_GBK" w:eastAsia="方正仿宋_GBK"/>
          <w:szCs w:val="32"/>
        </w:rPr>
        <w:t>乙方：</w:t>
      </w:r>
    </w:p>
    <w:p>
      <w:pPr>
        <w:pStyle w:val="10"/>
        <w:spacing w:line="620" w:lineRule="exact"/>
        <w:rPr>
          <w:rFonts w:ascii="方正仿宋_GBK" w:eastAsia="方正仿宋_GBK"/>
          <w:szCs w:val="32"/>
        </w:rPr>
      </w:pPr>
      <w:r>
        <w:rPr>
          <w:rFonts w:hint="eastAsia" w:ascii="方正仿宋_GBK" w:eastAsia="方正仿宋_GBK"/>
          <w:szCs w:val="32"/>
        </w:rPr>
        <w:t>地址：</w:t>
      </w:r>
    </w:p>
    <w:p>
      <w:pPr>
        <w:pStyle w:val="10"/>
        <w:spacing w:line="620" w:lineRule="exact"/>
        <w:rPr>
          <w:rFonts w:ascii="方正仿宋_GBK" w:eastAsia="方正仿宋_GBK"/>
          <w:szCs w:val="32"/>
        </w:rPr>
      </w:pPr>
      <w:r>
        <w:rPr>
          <w:rFonts w:hint="eastAsia" w:ascii="方正仿宋_GBK" w:eastAsia="方正仿宋_GBK"/>
          <w:szCs w:val="32"/>
        </w:rPr>
        <w:t>邮政编码：</w:t>
      </w:r>
    </w:p>
    <w:p>
      <w:pPr>
        <w:pStyle w:val="10"/>
        <w:spacing w:line="620" w:lineRule="exact"/>
        <w:rPr>
          <w:rFonts w:ascii="方正仿宋_GBK" w:eastAsia="方正仿宋_GBK"/>
          <w:szCs w:val="32"/>
        </w:rPr>
      </w:pPr>
      <w:r>
        <w:rPr>
          <w:rFonts w:hint="eastAsia" w:ascii="方正仿宋_GBK" w:eastAsia="方正仿宋_GBK"/>
          <w:szCs w:val="32"/>
        </w:rPr>
        <w:t>联系电话：</w:t>
      </w:r>
    </w:p>
    <w:p>
      <w:pPr>
        <w:pStyle w:val="10"/>
        <w:spacing w:line="620" w:lineRule="exact"/>
        <w:ind w:firstLine="560" w:firstLineChars="200"/>
        <w:rPr>
          <w:rFonts w:ascii="方正仿宋_GBK" w:eastAsia="方正仿宋_GBK"/>
          <w:szCs w:val="32"/>
        </w:rPr>
      </w:pP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根据《中华人民共和国民法典》、《中华人民共和国建筑法》及有关法律规定和重庆银行股份有限公司相关内部管理规章，在遵循平等、自愿、公平和诚实信用的原则下，双方就</w:t>
      </w:r>
      <w:r>
        <w:rPr>
          <w:rFonts w:hint="eastAsia" w:ascii="方正仿宋_GBK" w:hAnsi="宋体" w:eastAsia="方正仿宋_GBK"/>
          <w:color w:val="000000"/>
          <w:sz w:val="28"/>
          <w:szCs w:val="28"/>
        </w:rPr>
        <w:t>重庆银行成都分行本部气体灭火系统采购项目</w:t>
      </w:r>
      <w:r>
        <w:rPr>
          <w:rFonts w:hint="eastAsia" w:ascii="方正仿宋_GBK" w:hAnsi="方正仿宋_GBK" w:eastAsia="方正仿宋_GBK" w:cs="方正仿宋_GBK"/>
          <w:sz w:val="28"/>
          <w:szCs w:val="28"/>
        </w:rPr>
        <w:t>有关事项协商一致，共同达成如下协议：</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一、合同文件</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下列关于</w:t>
      </w:r>
      <w:r>
        <w:rPr>
          <w:rFonts w:hint="eastAsia" w:ascii="方正仿宋_GBK" w:hAnsi="宋体" w:eastAsia="方正仿宋_GBK"/>
          <w:color w:val="000000"/>
          <w:sz w:val="28"/>
          <w:szCs w:val="28"/>
        </w:rPr>
        <w:t>重庆银行成都分行本部气体灭火系统采购项目</w:t>
      </w:r>
      <w:r>
        <w:rPr>
          <w:rFonts w:hint="eastAsia" w:ascii="方正仿宋_GBK" w:hAnsi="方正仿宋_GBK" w:eastAsia="方正仿宋_GBK" w:cs="方正仿宋_GBK"/>
          <w:bCs/>
          <w:sz w:val="28"/>
          <w:szCs w:val="28"/>
        </w:rPr>
        <w:t>的招标文件是构成本合同不可分割的部分：</w:t>
      </w:r>
    </w:p>
    <w:p>
      <w:pPr>
        <w:tabs>
          <w:tab w:val="left" w:pos="540"/>
        </w:tabs>
        <w:spacing w:line="60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 合同条款及前附表；</w:t>
      </w:r>
    </w:p>
    <w:p>
      <w:pPr>
        <w:tabs>
          <w:tab w:val="left" w:pos="540"/>
        </w:tabs>
        <w:spacing w:line="60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 乙方提交的投标文件；</w:t>
      </w:r>
    </w:p>
    <w:p>
      <w:pPr>
        <w:tabs>
          <w:tab w:val="left" w:pos="540"/>
        </w:tabs>
        <w:spacing w:line="60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 甲方、乙方商定的其他必要文件。</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二、合同范围和条件</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本合同的范围和条件应与上述合同文件的规定相一致，本合同附件具有与合同同等的法律效力。</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三、采购内容</w:t>
      </w:r>
    </w:p>
    <w:p>
      <w:pPr>
        <w:tabs>
          <w:tab w:val="left" w:pos="540"/>
          <w:tab w:val="left" w:pos="720"/>
        </w:tabs>
        <w:spacing w:line="500" w:lineRule="exact"/>
        <w:ind w:firstLine="560" w:firstLineChars="200"/>
        <w:rPr>
          <w:rFonts w:ascii="方正仿宋_GBK" w:eastAsia="方正仿宋_GBK"/>
          <w:sz w:val="28"/>
          <w:szCs w:val="28"/>
        </w:rPr>
      </w:pPr>
      <w:r>
        <w:rPr>
          <w:rFonts w:hint="eastAsia" w:ascii="方正仿宋_GBK" w:eastAsia="方正仿宋_GBK"/>
          <w:sz w:val="28"/>
          <w:szCs w:val="28"/>
        </w:rPr>
        <w:t>（一）本项目为采购重庆银行成都分行本部数据机房、监控中心、UPS机房、档案室等部位配置的13套气体灭火系统。项目包含原有气体灭火系统的拆除（含报废处理）、更换后气体灭火系统的安装、调试、检测等，并新增8个泄压口。</w:t>
      </w:r>
    </w:p>
    <w:p>
      <w:pPr>
        <w:tabs>
          <w:tab w:val="left" w:pos="540"/>
          <w:tab w:val="left" w:pos="720"/>
        </w:tabs>
        <w:spacing w:line="500" w:lineRule="exact"/>
        <w:ind w:firstLine="560" w:firstLineChars="200"/>
        <w:rPr>
          <w:rFonts w:ascii="方正仿宋_GBK" w:eastAsia="方正仿宋_GBK"/>
          <w:sz w:val="28"/>
          <w:szCs w:val="28"/>
        </w:rPr>
      </w:pPr>
      <w:r>
        <w:rPr>
          <w:rFonts w:hint="eastAsia" w:ascii="方正仿宋_GBK" w:eastAsia="方正仿宋_GBK"/>
          <w:sz w:val="28"/>
          <w:szCs w:val="28"/>
        </w:rPr>
        <w:t>（二）具体采购内容详见附件《采购清单及金额明细表》。</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四、安装及验收依据</w:t>
      </w:r>
    </w:p>
    <w:p>
      <w:pPr>
        <w:tabs>
          <w:tab w:val="left" w:pos="540"/>
          <w:tab w:val="left" w:pos="720"/>
        </w:tabs>
        <w:spacing w:line="500" w:lineRule="exact"/>
        <w:ind w:firstLine="560" w:firstLineChars="200"/>
        <w:rPr>
          <w:rFonts w:ascii="方正仿宋_GBK" w:eastAsia="方正仿宋_GBK"/>
          <w:sz w:val="28"/>
          <w:szCs w:val="28"/>
        </w:rPr>
      </w:pPr>
      <w:r>
        <w:rPr>
          <w:rFonts w:hint="eastAsia" w:ascii="方正仿宋_GBK" w:eastAsia="方正仿宋_GBK"/>
          <w:sz w:val="28"/>
          <w:szCs w:val="28"/>
        </w:rPr>
        <w:t>（一）《建筑工程施工质量验收统一标准》 GB50300-2001；</w:t>
      </w:r>
    </w:p>
    <w:p>
      <w:pPr>
        <w:tabs>
          <w:tab w:val="left" w:pos="540"/>
          <w:tab w:val="left" w:pos="720"/>
        </w:tabs>
        <w:spacing w:line="500" w:lineRule="exact"/>
        <w:ind w:firstLine="560" w:firstLineChars="200"/>
        <w:rPr>
          <w:rFonts w:ascii="方正仿宋_GBK" w:eastAsia="方正仿宋_GBK"/>
          <w:sz w:val="28"/>
          <w:szCs w:val="28"/>
        </w:rPr>
      </w:pPr>
      <w:r>
        <w:rPr>
          <w:rFonts w:hint="eastAsia" w:ascii="方正仿宋_GBK" w:eastAsia="方正仿宋_GBK"/>
          <w:sz w:val="28"/>
          <w:szCs w:val="28"/>
        </w:rPr>
        <w:t xml:space="preserve">（二）《气体灭火系统设计规范》 GB50370-2005； </w:t>
      </w:r>
    </w:p>
    <w:p>
      <w:pPr>
        <w:tabs>
          <w:tab w:val="left" w:pos="540"/>
          <w:tab w:val="left" w:pos="720"/>
        </w:tabs>
        <w:spacing w:line="500" w:lineRule="exact"/>
        <w:ind w:firstLine="560" w:firstLineChars="200"/>
        <w:rPr>
          <w:rFonts w:ascii="方正仿宋_GBK" w:eastAsia="方正仿宋_GBK"/>
          <w:sz w:val="28"/>
          <w:szCs w:val="28"/>
        </w:rPr>
      </w:pPr>
      <w:r>
        <w:rPr>
          <w:rFonts w:hint="eastAsia" w:ascii="方正仿宋_GBK" w:eastAsia="方正仿宋_GBK"/>
          <w:sz w:val="28"/>
          <w:szCs w:val="28"/>
        </w:rPr>
        <w:t>（三）《气体灭火系统施工及验收规范》 GB50263-2007；</w:t>
      </w:r>
    </w:p>
    <w:p>
      <w:pPr>
        <w:tabs>
          <w:tab w:val="left" w:pos="540"/>
          <w:tab w:val="left" w:pos="720"/>
        </w:tabs>
        <w:spacing w:line="500" w:lineRule="exact"/>
        <w:ind w:firstLine="560" w:firstLineChars="200"/>
        <w:rPr>
          <w:rFonts w:ascii="方正仿宋_GBK" w:eastAsia="方正仿宋_GBK"/>
          <w:sz w:val="28"/>
          <w:szCs w:val="28"/>
        </w:rPr>
      </w:pPr>
      <w:r>
        <w:rPr>
          <w:rFonts w:hint="eastAsia" w:ascii="方正仿宋_GBK" w:eastAsia="方正仿宋_GBK"/>
          <w:sz w:val="28"/>
          <w:szCs w:val="28"/>
        </w:rPr>
        <w:t>（四）《自动报警系统施工及验收规范》 GB50166-2007。</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五、合同金额</w:t>
      </w:r>
    </w:p>
    <w:p>
      <w:pPr>
        <w:tabs>
          <w:tab w:val="left" w:pos="540"/>
          <w:tab w:val="left" w:pos="720"/>
        </w:tabs>
        <w:spacing w:line="500" w:lineRule="exact"/>
        <w:ind w:firstLine="560" w:firstLineChars="200"/>
        <w:rPr>
          <w:rFonts w:ascii="方正仿宋_GBK" w:hAnsi="方正仿宋_GBK" w:eastAsia="方正仿宋_GBK" w:cs="方正仿宋_GBK"/>
          <w:sz w:val="28"/>
          <w:szCs w:val="28"/>
        </w:rPr>
      </w:pPr>
      <w:r>
        <w:rPr>
          <w:rFonts w:hint="eastAsia" w:ascii="方正仿宋_GBK" w:eastAsia="方正仿宋_GBK"/>
          <w:sz w:val="28"/>
          <w:szCs w:val="28"/>
        </w:rPr>
        <w:t>合同金额为人民币</w:t>
      </w:r>
      <w:r>
        <w:rPr>
          <w:rFonts w:hint="eastAsia" w:ascii="方正仿宋_GBK" w:eastAsia="方正仿宋_GBK"/>
          <w:sz w:val="28"/>
          <w:szCs w:val="28"/>
          <w:u w:val="single"/>
        </w:rPr>
        <w:t xml:space="preserve">          </w:t>
      </w:r>
      <w:r>
        <w:rPr>
          <w:rFonts w:hint="eastAsia" w:ascii="方正仿宋_GBK" w:eastAsia="方正仿宋_GBK"/>
          <w:sz w:val="28"/>
          <w:szCs w:val="28"/>
        </w:rPr>
        <w:t>元（大写：</w:t>
      </w:r>
      <w:r>
        <w:rPr>
          <w:rFonts w:hint="eastAsia" w:ascii="方正仿宋_GBK" w:eastAsia="方正仿宋_GBK"/>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），以实际结算为准，总金额不超过合同约定金额。</w:t>
      </w:r>
    </w:p>
    <w:p>
      <w:pPr>
        <w:adjustRightInd w:val="0"/>
        <w:snapToGrid w:val="0"/>
        <w:spacing w:line="500" w:lineRule="exact"/>
        <w:ind w:firstLine="560" w:firstLineChars="200"/>
        <w:rPr>
          <w:rFonts w:ascii="方正仿宋_GBK" w:hAnsi="宋体" w:eastAsia="方正仿宋_GBK"/>
          <w:color w:val="000000"/>
          <w:sz w:val="28"/>
          <w:szCs w:val="28"/>
        </w:rPr>
      </w:pPr>
      <w:r>
        <w:rPr>
          <w:rFonts w:hint="eastAsia" w:ascii="方正仿宋_GBK" w:hAnsi="方正仿宋_GBK" w:eastAsia="方正仿宋_GBK" w:cs="方正仿宋_GBK"/>
          <w:sz w:val="28"/>
          <w:szCs w:val="28"/>
        </w:rPr>
        <w:t>上述合同金额为完成项目</w:t>
      </w:r>
      <w:r>
        <w:rPr>
          <w:rFonts w:hint="eastAsia" w:ascii="方正仿宋_GBK" w:hAnsi="宋体" w:eastAsia="方正仿宋_GBK"/>
          <w:color w:val="000000"/>
          <w:sz w:val="28"/>
          <w:szCs w:val="28"/>
        </w:rPr>
        <w:t>所要求服务的整体包干价，应包含完成项目所需的货物及随机附件（包括安装工具）、材料、备品备件的采购、检测、试验、包装、运输、保险、税费、安装、检验、调试、试运行、验收、培训、技术服务（包括提供技术资料、图纸、操作及培训手册等）、质保期保障、项目管理、第三方软件费，以及投标人认为必要的其他货物、材料、工程与服务等所有费用。</w:t>
      </w:r>
    </w:p>
    <w:p>
      <w:pPr>
        <w:spacing w:line="600" w:lineRule="exact"/>
        <w:ind w:firstLine="560" w:firstLineChars="200"/>
        <w:rPr>
          <w:rFonts w:ascii="仿宋_GB2312" w:hAnsi="宋体" w:eastAsia="仿宋_GB2312"/>
          <w:bCs/>
          <w:sz w:val="28"/>
          <w:szCs w:val="28"/>
        </w:rPr>
      </w:pPr>
      <w:r>
        <w:rPr>
          <w:rFonts w:hint="eastAsia" w:ascii="方正黑体_GBK" w:hAnsi="方正黑体_GBK" w:eastAsia="方正黑体_GBK" w:cs="方正黑体_GBK"/>
          <w:sz w:val="28"/>
          <w:szCs w:val="28"/>
        </w:rPr>
        <w:t>六、付款条件</w:t>
      </w:r>
      <w:r>
        <w:rPr>
          <w:rFonts w:hint="eastAsia" w:ascii="仿宋_GB2312" w:hAnsi="宋体" w:eastAsia="仿宋_GB2312"/>
          <w:bCs/>
          <w:sz w:val="28"/>
          <w:szCs w:val="28"/>
        </w:rPr>
        <w:t xml:space="preserve">   </w:t>
      </w:r>
    </w:p>
    <w:p>
      <w:pPr>
        <w:tabs>
          <w:tab w:val="left" w:pos="540"/>
          <w:tab w:val="left" w:pos="720"/>
          <w:tab w:val="left" w:pos="1248"/>
        </w:tabs>
        <w:adjustRightInd w:val="0"/>
        <w:snapToGrid w:val="0"/>
        <w:spacing w:line="500" w:lineRule="exact"/>
        <w:ind w:firstLine="560" w:firstLineChars="200"/>
        <w:rPr>
          <w:rFonts w:ascii="方正仿宋_GBK" w:hAnsi="Calibri" w:eastAsia="方正仿宋_GBK"/>
          <w:bCs/>
          <w:color w:val="000000"/>
          <w:sz w:val="28"/>
        </w:rPr>
      </w:pPr>
      <w:r>
        <w:rPr>
          <w:rFonts w:hint="eastAsia" w:ascii="仿宋_GB2312" w:hAnsi="宋体" w:eastAsia="仿宋_GB2312"/>
          <w:bCs/>
          <w:sz w:val="28"/>
          <w:szCs w:val="28"/>
        </w:rPr>
        <w:t>（一）</w:t>
      </w:r>
      <w:r>
        <w:rPr>
          <w:rFonts w:hint="eastAsia" w:ascii="方正仿宋_GBK" w:hAnsi="Calibri" w:eastAsia="方正仿宋_GBK"/>
          <w:bCs/>
          <w:color w:val="000000"/>
          <w:sz w:val="28"/>
        </w:rPr>
        <w:t>安装调试完毕后，在乙方提供具有专业资质的第三方检测机构出具的检测报告10日内，由甲方</w:t>
      </w:r>
      <w:r>
        <w:rPr>
          <w:rFonts w:hint="eastAsia" w:ascii="方正仿宋_GBK" w:hAnsi="宋体" w:eastAsia="方正仿宋_GBK"/>
          <w:color w:val="000000" w:themeColor="text1"/>
          <w:sz w:val="28"/>
          <w:szCs w:val="28"/>
          <w14:textFill>
            <w14:solidFill>
              <w14:schemeClr w14:val="tx1"/>
            </w14:solidFill>
          </w14:textFill>
        </w:rPr>
        <w:t>对工程进行综合验收。综合验收合格后，甲方</w:t>
      </w:r>
      <w:r>
        <w:rPr>
          <w:rFonts w:hint="eastAsia" w:ascii="方正仿宋_GBK" w:hAnsi="Calibri" w:eastAsia="方正仿宋_GBK"/>
          <w:bCs/>
          <w:color w:val="000000"/>
          <w:sz w:val="28"/>
        </w:rPr>
        <w:t>根据实际工程量结算支付货物价款。</w:t>
      </w:r>
    </w:p>
    <w:p>
      <w:pPr>
        <w:spacing w:line="600" w:lineRule="exact"/>
        <w:jc w:val="left"/>
        <w:rPr>
          <w:rFonts w:ascii="仿宋_GB2312" w:hAnsi="宋体" w:eastAsia="仿宋_GB2312"/>
          <w:bCs/>
          <w:sz w:val="28"/>
          <w:szCs w:val="28"/>
        </w:rPr>
      </w:pPr>
      <w:r>
        <w:rPr>
          <w:rFonts w:hint="eastAsia" w:ascii="仿宋_GB2312" w:hAnsi="宋体" w:eastAsia="仿宋_GB2312"/>
          <w:bCs/>
          <w:sz w:val="28"/>
          <w:szCs w:val="28"/>
        </w:rPr>
        <w:t xml:space="preserve">    （二）关于开具增值税专用发票的约定</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1. 乙方因本合同项下服务/货物而须支付的其他各项税费（包括但不限于增值税、城市维护建设税、教育费附加及地方教育费附加、印花税、及企业所得税等其他各项税费）应由乙方自行承担，不再向甲方收取。乙方保证各项标的对应的税率符合国家规定，且与最终付款时提供的发票税率一致。</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2. 除特别说明外，增值税纳税人开具的发票指增值税专用发票，国家规定不能开具增值税专用发票的增值税纳税人，应向税务机关申请代开增值税专用发票。乙方应保证发票真实、合法，各项信息全面、完整。</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3. 乙方开具的增值税专用发票符合以下情形之一的，甲方有权延迟支付应付款项，并要求乙方重新提供，且甲方不承担任何违约责任，乙方各项义务仍按合同约定履行：</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1) 提供作废、无效发票或因违反国家法律法规开具、提供发票的；</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2) 开具发票种类错误，开具发票税率与合同约定不符；</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3) 发票上的信息错误的；</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4) 因乙方延迟送达、开具错误等原因造成发票认证失败等其他情况；</w:t>
      </w:r>
    </w:p>
    <w:p>
      <w:pPr>
        <w:spacing w:line="600" w:lineRule="exact"/>
        <w:ind w:left="991" w:hanging="991" w:hangingChars="354"/>
        <w:rPr>
          <w:rFonts w:ascii="仿宋_GB2312" w:hAnsi="宋体" w:eastAsia="仿宋_GB2312"/>
          <w:bCs/>
          <w:sz w:val="28"/>
          <w:szCs w:val="28"/>
        </w:rPr>
      </w:pPr>
      <w:r>
        <w:rPr>
          <w:rFonts w:hint="eastAsia" w:ascii="仿宋_GB2312" w:hAnsi="宋体" w:eastAsia="仿宋_GB2312"/>
          <w:bCs/>
          <w:sz w:val="28"/>
          <w:szCs w:val="28"/>
        </w:rPr>
        <w:t xml:space="preserve">    5) 如乙方拒绝重新提供或提供的发票仍不符合法律法规和监管规定的要求，甲方有权解除本合同，并要求乙方承担由此对甲方造成的全部损失。 </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4. 如果乙方向甲方开具虚假发票，甲方有权拒付合同款项、要求赔偿损失、终止本合同，并将乙方列入甲方采购禁入名单。</w:t>
      </w:r>
    </w:p>
    <w:p>
      <w:pPr>
        <w:spacing w:line="600" w:lineRule="exact"/>
        <w:rPr>
          <w:rFonts w:ascii="仿宋_GB2312" w:hAnsi="宋体" w:eastAsia="仿宋_GB2312"/>
          <w:bCs/>
          <w:sz w:val="28"/>
          <w:szCs w:val="28"/>
        </w:rPr>
      </w:pPr>
      <w:r>
        <w:rPr>
          <w:rFonts w:hint="eastAsia" w:ascii="仿宋_GB2312" w:hAnsi="宋体" w:eastAsia="仿宋_GB2312"/>
          <w:bCs/>
          <w:sz w:val="28"/>
          <w:szCs w:val="28"/>
        </w:rPr>
        <w:t xml:space="preserve">    5. 因乙方未按合同约定提供增值税专用发票，而造成甲方无法抵扣增值税税额，甲方有权从应支付的合同款项中直接扣除甲方可抵扣税额。</w:t>
      </w:r>
    </w:p>
    <w:p>
      <w:pPr>
        <w:spacing w:line="600" w:lineRule="exact"/>
      </w:pPr>
      <w:r>
        <w:rPr>
          <w:rFonts w:hint="eastAsia" w:ascii="仿宋_GB2312" w:hAnsi="宋体" w:eastAsia="仿宋_GB2312"/>
          <w:bCs/>
          <w:sz w:val="28"/>
          <w:szCs w:val="28"/>
        </w:rPr>
        <w:t xml:space="preserve">    6. 因乙方发票税率与合同约定税率不一致导致税额不一致，并有损甲方权益的，甲方有权将税额差额从应支付的合同款项中予以直接扣除。</w:t>
      </w:r>
    </w:p>
    <w:p>
      <w:pPr>
        <w:spacing w:line="6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七、项目完成时间</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从合同签订生效之日30个日历天。</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八、违约责任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（一）由于乙方原因造成项目质量不合格，均由乙方负责返工，并承担一切直接经济损失。</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（二）乙方所供应的材料、设备必须是专业厂家生产，经行业管理部门认可的合格产品，否则造成的不合格及损失均由乙方自行负责。</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不能在约定的时间内完成项目，则每延迟一天，处以乙方200元/天的违约金，并没收履约保证金10%；如延迟时间超过10天，则没收全部的履约保证金。如逾期超过20天以上，甲方有权终止合同，并根据合同约定保留方式追究乙方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（四）若乙方出现以次充好或不能在约定的时间内完成安装售后服务的情况，甲方有权中止采购合同，并保留采用法律手段追偿的权利。</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（五）在合同履行期间，如乙方擅自中止、转让本合同，甲方有权解除合同并不予支付合同费用，且可以主张乙方的违约责任。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（六）乙方没有按约定时间对甲方的系统进行功能巡检及损坏设备跟换，甲方有权解除合同并不予支付服务费合同费用，且可以主张乙方的违约责任。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因乙方货物质量问题或不能按标准售后服务，导致系统、设备不能正常工作，在此期间发生事故等形成损失的，甲方有权索赔和追究法律责任。因乙方及乙方人员违反甲方安全管理规定、保密管理规定，导致甲方发生案件、事故等，甲方有权对乙方进行民事索赔和追究法律责任。</w:t>
      </w:r>
    </w:p>
    <w:p>
      <w:pPr>
        <w:spacing w:line="6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九、乙方的权利和义务</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（一）建立对法律法规及甲方内部管理制度的遵从要求，以及贯彻监管政策的通报贯彻机制及内控措施。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（二）服务连续性管理目标满足甲方业务连续性目标要求。</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（三）配合甲方内、外部审计机构检查，及配合银行业监管机构检查的责任。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（四）每季度向甲方提交巡检报告，包括常规报告（服务季度报告）和突发事件的报告。</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（五）严格按照消费者权益保护相关法律法规、监管规定的要求执行，有保护客户信息的职责和保密义务。</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十、乙方承诺：</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（一）定期通报外包活动的有关事项；</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（二）及时通报外包活动的突发性事件；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（三）配合甲方接受银行业监督管理机构的检查；</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（四）不得以甲方的名义开展活动；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（五）甲方认为应当承诺的其他事项。</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（六）保障客户信息的安全性，当客户信息不安全或客户权利受到影响时，甲方有权随时终止外包合同；不得将外包活动的主要业务分包；不得将外包活动转包或变相转包。</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十一、廉洁条款</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甲乙双方人员要严格遵守国家及重庆银行关于设备、物资、服务采购等有关法律、法规以及廉政建设的各项规定。</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（一）在集中采购和合同履行过程中、以及合同履行完毕后，乙方均不向甲方工作人员及其配偶、近亲属赠送礼金、有价证券（卡）、贵重物品，给予回扣，或提出有关暗示；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（二）在集中采购和合同履行过程中、以及合同履行完毕后，乙方均不与甲方工作人员私下接触或交往，不为其报销各种费用和借用通讯设备、手提电脑、交通工具等；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（三）在集中采购和合同履行过程中、以及合同履行完毕后，乙方均不邀请甲方工作人员参与高消费餐饮、娱乐、旅游或以钱物为赌注的棋牌活动及涉“黄”、涉毒等活动；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（四）在集中采购和合同履行过程中、以及合同履行完毕后，乙方均不邀请甲方工作人员参与乙方的投资参股、项目实施及其他经营活动；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（五）在集中采购和合同履行过程中、以及合同履行完毕后，乙方均不以低于市场价格为甲方工作人员装修住房或购买物品等；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对甲方工作人员在集中采购和合同履行过程中、以及合同履行完毕后主动向乙方为本人或亲属索取经济利益的，乙方承诺立即重庆银行成都分行反映或举报，举报或反映如系恶意虚假反映，乙方愿承担相应的法律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若乙方违反以上条款或隐瞒有关情况，甲方有权将乙方列入集中采购禁入名单，并且不得参与重庆银行成都分行的各类采购活动；有权无条件取消乙方供应商资格、有权无条件终止与乙方拟签订或执行中的合同，并不再退还履约保证金及不再支付质保金，乙方愿承担由此导致的一切损失和赔偿责任。</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十二、售后服务要求</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（一）质量保修期：验收合格之日起 2 年。</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（二）质保期内，如设备或零部件因非人为因素出现故障而造成短期停用时，则质保期和免费维修期相应顺延。如停用时间累计超过 60 天则质保期重新计算。在质保期内，如因设备或零部件质量问题造成采购人或第三方人身财产损失的，中标人应承担全部责任。</w:t>
      </w:r>
    </w:p>
    <w:p>
      <w:pPr>
        <w:tabs>
          <w:tab w:val="left" w:pos="540"/>
          <w:tab w:val="left" w:pos="720"/>
          <w:tab w:val="left" w:pos="1248"/>
        </w:tabs>
        <w:adjustRightInd w:val="0"/>
        <w:snapToGrid w:val="0"/>
        <w:spacing w:line="500" w:lineRule="exact"/>
        <w:ind w:firstLine="548" w:firstLineChars="196"/>
        <w:rPr>
          <w:rFonts w:ascii="方正仿宋_GBK" w:eastAsia="方正仿宋_GBK"/>
          <w:bCs/>
          <w:color w:val="000000"/>
          <w:sz w:val="28"/>
        </w:rPr>
      </w:pPr>
      <w:r>
        <w:rPr>
          <w:rFonts w:hint="eastAsia" w:ascii="方正仿宋_GBK" w:eastAsia="方正仿宋_GBK"/>
          <w:bCs/>
          <w:color w:val="000000"/>
          <w:sz w:val="28"/>
        </w:rPr>
        <w:t>（三）对采购人的服务通知，中标人在接报后 0.5小时内响应，2小时内到达现场， 24小时内处理完毕。若在48小时内仍未能有效解决，中标人须免费提供同档次的设备予采购人临时使用。</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十三、质保期及履约保证金</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（一）免费质保期和工程材料免费质保期均为自验收合格之日起2年。免费质保期内，乙方应保证系统设备正常运行(人为破坏设备除外)。</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（二）履约保证金按投标报价的5%收取，产品质保期满后无息归还（产品质保期为安装并验收合格后2年）。</w:t>
      </w:r>
    </w:p>
    <w:p>
      <w:pPr>
        <w:spacing w:line="6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十四、合同生效及其它</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本合同自双方签字盖章，并在收到乙方提交的履约保证金（如果有）后生效。本合同一式伍份，甲方执三份，乙方执二份，具有同等法律效力。</w:t>
      </w:r>
    </w:p>
    <w:p>
      <w:pPr>
        <w:spacing w:line="600" w:lineRule="exact"/>
        <w:ind w:firstLine="560" w:firstLineChars="200"/>
        <w:rPr>
          <w:rFonts w:ascii="方正仿宋_GBK" w:hAnsi="方正仿宋_GBK" w:eastAsia="方正仿宋_GBK" w:cs="方正仿宋_GBK"/>
          <w:bCs/>
          <w:sz w:val="28"/>
          <w:szCs w:val="28"/>
        </w:rPr>
      </w:pPr>
    </w:p>
    <w:p>
      <w:pPr>
        <w:pStyle w:val="5"/>
        <w:ind w:firstLine="560"/>
        <w:rPr>
          <w:rFonts w:ascii="方正仿宋_GBK" w:hAnsi="方正仿宋_GBK" w:eastAsia="方正仿宋_GBK" w:cs="方正仿宋_GBK"/>
          <w:b w:val="0"/>
          <w:sz w:val="28"/>
        </w:rPr>
      </w:pPr>
      <w:r>
        <w:rPr>
          <w:rFonts w:hint="eastAsia" w:ascii="方正仿宋_GBK" w:hAnsi="方正仿宋_GBK" w:eastAsia="方正仿宋_GBK" w:cs="方正仿宋_GBK"/>
          <w:b w:val="0"/>
          <w:sz w:val="28"/>
        </w:rPr>
        <w:t>附件：采购清单及金额明细表</w:t>
      </w:r>
    </w:p>
    <w:p>
      <w:pPr>
        <w:pStyle w:val="5"/>
        <w:ind w:firstLine="560"/>
        <w:rPr>
          <w:rFonts w:ascii="方正仿宋_GBK" w:hAnsi="方正仿宋_GBK" w:eastAsia="方正仿宋_GBK" w:cs="方正仿宋_GBK"/>
          <w:b w:val="0"/>
          <w:sz w:val="28"/>
        </w:rPr>
      </w:pPr>
      <w:r>
        <w:rPr>
          <w:rFonts w:hint="eastAsia" w:ascii="方正仿宋_GBK" w:hAnsi="方正仿宋_GBK" w:eastAsia="方正仿宋_GBK" w:cs="方正仿宋_GBK"/>
          <w:b w:val="0"/>
          <w:sz w:val="28"/>
        </w:rPr>
        <w:t>甲方（单位盖章）：</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年     月    日</w:t>
      </w:r>
    </w:p>
    <w:p>
      <w:pPr>
        <w:spacing w:line="600" w:lineRule="exact"/>
        <w:ind w:firstLine="560" w:firstLineChars="200"/>
        <w:rPr>
          <w:rFonts w:ascii="方正仿宋_GBK" w:hAnsi="方正仿宋_GBK" w:eastAsia="方正仿宋_GBK" w:cs="方正仿宋_GBK"/>
          <w:bCs/>
          <w:sz w:val="28"/>
          <w:szCs w:val="28"/>
        </w:rPr>
      </w:pPr>
    </w:p>
    <w:p>
      <w:pPr>
        <w:spacing w:line="600" w:lineRule="exact"/>
        <w:ind w:firstLine="560" w:firstLineChars="200"/>
        <w:rPr>
          <w:rFonts w:ascii="方正仿宋_GBK" w:hAnsi="方正仿宋_GBK" w:eastAsia="方正仿宋_GBK" w:cs="方正仿宋_GBK"/>
          <w:bCs/>
          <w:sz w:val="28"/>
          <w:szCs w:val="28"/>
        </w:rPr>
      </w:pPr>
    </w:p>
    <w:p>
      <w:pPr>
        <w:pStyle w:val="5"/>
      </w:pP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乙方（单位盖章）：</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地址：</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年     月    日</w:t>
      </w:r>
    </w:p>
    <w:p>
      <w:pPr>
        <w:snapToGrid w:val="0"/>
        <w:spacing w:line="500" w:lineRule="exact"/>
        <w:ind w:firstLine="562" w:firstLineChars="200"/>
        <w:rPr>
          <w:rFonts w:ascii="仿宋_GB2312" w:hAnsi="宋体" w:eastAsia="仿宋_GB2312"/>
          <w:b/>
          <w:color w:val="000000"/>
          <w:sz w:val="28"/>
          <w:szCs w:val="28"/>
        </w:rPr>
      </w:pPr>
    </w:p>
    <w:p>
      <w:pPr>
        <w:pStyle w:val="3"/>
        <w:spacing w:after="100" w:afterAutospacing="1" w:line="480" w:lineRule="auto"/>
        <w:jc w:val="left"/>
        <w:rPr>
          <w:color w:val="000000"/>
          <w:sz w:val="36"/>
          <w:szCs w:val="36"/>
        </w:rPr>
      </w:pPr>
      <w:bookmarkStart w:id="6" w:name="_Toc89789307"/>
    </w:p>
    <w:p>
      <w:pPr>
        <w:pStyle w:val="3"/>
        <w:spacing w:after="100" w:afterAutospacing="1" w:line="480" w:lineRule="auto"/>
        <w:jc w:val="left"/>
        <w:rPr>
          <w:color w:val="000000"/>
          <w:sz w:val="36"/>
          <w:szCs w:val="36"/>
        </w:rPr>
      </w:pPr>
    </w:p>
    <w:p>
      <w:pPr>
        <w:pStyle w:val="3"/>
        <w:spacing w:after="100" w:afterAutospacing="1" w:line="480" w:lineRule="auto"/>
        <w:jc w:val="left"/>
        <w:rPr>
          <w:color w:val="000000"/>
          <w:sz w:val="36"/>
          <w:szCs w:val="36"/>
        </w:rPr>
      </w:pPr>
    </w:p>
    <w:p>
      <w:pPr>
        <w:pStyle w:val="3"/>
        <w:spacing w:after="100" w:afterAutospacing="1" w:line="480" w:lineRule="auto"/>
        <w:jc w:val="left"/>
        <w:rPr>
          <w:color w:val="000000"/>
          <w:sz w:val="36"/>
          <w:szCs w:val="36"/>
        </w:rPr>
      </w:pPr>
    </w:p>
    <w:p>
      <w:pPr>
        <w:rPr>
          <w:color w:val="000000"/>
          <w:sz w:val="36"/>
          <w:szCs w:val="36"/>
        </w:rPr>
      </w:pPr>
    </w:p>
    <w:p>
      <w:pPr>
        <w:pStyle w:val="29"/>
        <w:rPr>
          <w:color w:val="000000"/>
          <w:sz w:val="36"/>
          <w:szCs w:val="36"/>
        </w:rPr>
      </w:pPr>
    </w:p>
    <w:p>
      <w:pPr>
        <w:pStyle w:val="29"/>
        <w:rPr>
          <w:color w:val="000000"/>
          <w:sz w:val="36"/>
          <w:szCs w:val="36"/>
        </w:rPr>
      </w:pPr>
    </w:p>
    <w:p>
      <w:pPr>
        <w:pStyle w:val="3"/>
        <w:spacing w:after="100" w:afterAutospacing="1" w:line="480" w:lineRule="auto"/>
        <w:jc w:val="left"/>
        <w:rPr>
          <w:color w:val="000000"/>
          <w:sz w:val="36"/>
          <w:szCs w:val="36"/>
        </w:rPr>
      </w:pPr>
      <w:r>
        <w:rPr>
          <w:rFonts w:hint="eastAsia"/>
          <w:color w:val="000000"/>
          <w:sz w:val="36"/>
          <w:szCs w:val="36"/>
        </w:rPr>
        <w:t>附件：</w:t>
      </w:r>
    </w:p>
    <w:p>
      <w:pPr>
        <w:spacing w:after="120" w:afterLines="5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采购清单及金额明细表</w:t>
      </w:r>
    </w:p>
    <w:p>
      <w:pPr>
        <w:pStyle w:val="29"/>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1693"/>
        <w:gridCol w:w="716"/>
        <w:gridCol w:w="851"/>
        <w:gridCol w:w="992"/>
        <w:gridCol w:w="1134"/>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75"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序号</w:t>
            </w:r>
          </w:p>
        </w:tc>
        <w:tc>
          <w:tcPr>
            <w:tcW w:w="2127"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设备名称</w:t>
            </w:r>
          </w:p>
        </w:tc>
        <w:tc>
          <w:tcPr>
            <w:tcW w:w="1693"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技术参数</w:t>
            </w:r>
          </w:p>
        </w:tc>
        <w:tc>
          <w:tcPr>
            <w:tcW w:w="716"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数量</w:t>
            </w:r>
          </w:p>
        </w:tc>
        <w:tc>
          <w:tcPr>
            <w:tcW w:w="851"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单位</w:t>
            </w:r>
          </w:p>
        </w:tc>
        <w:tc>
          <w:tcPr>
            <w:tcW w:w="992"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单价</w:t>
            </w:r>
          </w:p>
        </w:tc>
        <w:tc>
          <w:tcPr>
            <w:tcW w:w="1134"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小计金额</w:t>
            </w:r>
          </w:p>
        </w:tc>
        <w:tc>
          <w:tcPr>
            <w:tcW w:w="1667"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120L气体灭火瓶组</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QMP120/5.3W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6</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瓶</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vMerge w:val="restart"/>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含钢瓶、容器阀、启动阀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90L气体灭火瓶组</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QMP90/5.3W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5</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瓶</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vMerge w:val="continue"/>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3</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70L气体灭火瓶组</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QMP70/5.3W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瓶</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vMerge w:val="continue"/>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4</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七氟丙烷药剂</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HFC-227ea</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1310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kg</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5</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灭火剂气体瓶柜</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MQJ</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6</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连接管</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QRG50/5.3W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条</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DN50,5.3MPa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7</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信号反馈装置</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XF0.8/17.2</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套</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压力表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2.5MPa</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9</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电磁性驱动装置</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QDQ90N</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10</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气体释放声光警报器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GST-HX-240B</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16</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11</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紧急启停装置</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GST-LD8328</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12</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输入/输出模块</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GST-8301</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16</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感烟（温）探测器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JTY-GD-GST</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40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14</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气体灭火系统控制器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GST-QKP01</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15</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双绞线</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国标RVS2*1.5</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600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米</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16</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单股铜芯硬线</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国标BV1.5</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200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米</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17</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sz w:val="22"/>
                <w:szCs w:val="21"/>
                <w:shd w:val="clear" w:color="auto" w:fill="FFFFFF"/>
              </w:rPr>
              <w:t>紧定管</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sz w:val="22"/>
                <w:szCs w:val="21"/>
                <w:shd w:val="clear" w:color="auto" w:fill="FFFFFF"/>
              </w:rPr>
              <w:t>JDG20</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600</w:t>
            </w:r>
          </w:p>
        </w:tc>
        <w:tc>
          <w:tcPr>
            <w:tcW w:w="851" w:type="dxa"/>
            <w:shd w:val="clear" w:color="auto" w:fill="auto"/>
            <w:vAlign w:val="center"/>
          </w:tcPr>
          <w:p>
            <w:pPr>
              <w:adjustRightInd w:val="0"/>
              <w:snapToGrid w:val="0"/>
              <w:spacing w:line="320" w:lineRule="exact"/>
              <w:jc w:val="center"/>
            </w:pPr>
            <w:r>
              <w:rPr>
                <w:rFonts w:hint="eastAsia" w:ascii="方正仿宋_GBK" w:hAnsi="方正仿宋_GBK" w:eastAsia="方正仿宋_GBK" w:cs="方正仿宋_GBK"/>
                <w:color w:val="000000"/>
                <w:sz w:val="22"/>
                <w:szCs w:val="21"/>
                <w:shd w:val="clear" w:color="auto" w:fill="FFFFFF"/>
              </w:rPr>
              <w:t>米</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18</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原有气体灭火系统拆除（含报废处理）</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套</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left"/>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含控制盘、灭火器储罐、感烟感温探测器、柜体线路、应急启动装置等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19</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泄压口</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200mm*200mm</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5" w:type="dxa"/>
            <w:gridSpan w:val="3"/>
            <w:vMerge w:val="restart"/>
            <w:shd w:val="clear" w:color="auto" w:fill="auto"/>
            <w:vAlign w:val="center"/>
          </w:tcPr>
          <w:p>
            <w:pPr>
              <w:adjustRightInd w:val="0"/>
              <w:snapToGrid w:val="0"/>
              <w:spacing w:line="320" w:lineRule="exact"/>
              <w:jc w:val="right"/>
              <w:rPr>
                <w:rFonts w:ascii="方正仿宋_GBK" w:hAnsi="方正仿宋_GBK" w:eastAsia="方正仿宋_GBK" w:cs="方正仿宋_GBK"/>
                <w:b/>
                <w:color w:val="000000"/>
                <w:sz w:val="24"/>
                <w:szCs w:val="21"/>
                <w:shd w:val="clear" w:color="auto" w:fill="FFFFFF"/>
              </w:rPr>
            </w:pPr>
            <w:r>
              <w:rPr>
                <w:rFonts w:hint="eastAsia" w:ascii="方正仿宋_GBK" w:hAnsi="方正仿宋_GBK" w:eastAsia="方正仿宋_GBK" w:cs="方正仿宋_GBK"/>
                <w:b/>
                <w:color w:val="000000"/>
                <w:sz w:val="24"/>
                <w:szCs w:val="21"/>
                <w:shd w:val="clear" w:color="auto" w:fill="FFFFFF"/>
              </w:rPr>
              <w:t>合计金额（元）</w:t>
            </w:r>
          </w:p>
        </w:tc>
        <w:tc>
          <w:tcPr>
            <w:tcW w:w="5360" w:type="dxa"/>
            <w:gridSpan w:val="5"/>
            <w:shd w:val="clear" w:color="auto" w:fill="auto"/>
            <w:vAlign w:val="center"/>
          </w:tcPr>
          <w:p>
            <w:pPr>
              <w:adjustRightInd w:val="0"/>
              <w:snapToGrid w:val="0"/>
              <w:spacing w:line="320" w:lineRule="exact"/>
              <w:jc w:val="left"/>
              <w:rPr>
                <w:rFonts w:ascii="方正仿宋_GBK" w:hAnsi="方正仿宋_GBK" w:eastAsia="方正仿宋_GBK" w:cs="方正仿宋_GBK"/>
                <w:b/>
                <w:color w:val="000000"/>
                <w:sz w:val="24"/>
                <w:szCs w:val="21"/>
                <w:shd w:val="clear" w:color="auto" w:fill="FFFFFF"/>
              </w:rPr>
            </w:pPr>
            <w:r>
              <w:rPr>
                <w:rFonts w:ascii="方正仿宋_GBK" w:hAnsi="方正仿宋_GBK" w:eastAsia="方正仿宋_GBK" w:cs="方正仿宋_GBK"/>
                <w:b/>
                <w:color w:val="000000"/>
                <w:sz w:val="24"/>
                <w:szCs w:val="21"/>
                <w:shd w:val="clear" w:color="auto" w:fill="FFFFFF"/>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5" w:type="dxa"/>
            <w:gridSpan w:val="3"/>
            <w:vMerge w:val="continue"/>
            <w:shd w:val="clear" w:color="auto" w:fill="auto"/>
            <w:vAlign w:val="center"/>
          </w:tcPr>
          <w:p>
            <w:pPr>
              <w:adjustRightInd w:val="0"/>
              <w:snapToGrid w:val="0"/>
              <w:spacing w:line="320" w:lineRule="exact"/>
              <w:jc w:val="center"/>
              <w:rPr>
                <w:rFonts w:ascii="方正仿宋_GBK" w:hAnsi="方正仿宋_GBK" w:eastAsia="方正仿宋_GBK" w:cs="方正仿宋_GBK"/>
                <w:b/>
                <w:color w:val="000000"/>
                <w:sz w:val="24"/>
                <w:szCs w:val="21"/>
                <w:shd w:val="clear" w:color="auto" w:fill="FFFFFF"/>
              </w:rPr>
            </w:pPr>
          </w:p>
        </w:tc>
        <w:tc>
          <w:tcPr>
            <w:tcW w:w="5360" w:type="dxa"/>
            <w:gridSpan w:val="5"/>
            <w:shd w:val="clear" w:color="auto" w:fill="auto"/>
            <w:vAlign w:val="center"/>
          </w:tcPr>
          <w:p>
            <w:pPr>
              <w:adjustRightInd w:val="0"/>
              <w:snapToGrid w:val="0"/>
              <w:spacing w:line="320" w:lineRule="exact"/>
              <w:jc w:val="left"/>
              <w:rPr>
                <w:rFonts w:ascii="方正仿宋_GBK" w:hAnsi="方正仿宋_GBK" w:eastAsia="方正仿宋_GBK" w:cs="方正仿宋_GBK"/>
                <w:b/>
                <w:color w:val="000000"/>
                <w:sz w:val="24"/>
                <w:szCs w:val="21"/>
                <w:shd w:val="clear" w:color="auto" w:fill="FFFFFF"/>
              </w:rPr>
            </w:pPr>
            <w:r>
              <w:rPr>
                <w:rFonts w:ascii="方正仿宋_GBK" w:hAnsi="方正仿宋_GBK" w:eastAsia="方正仿宋_GBK" w:cs="方正仿宋_GBK"/>
                <w:b/>
                <w:color w:val="000000"/>
                <w:sz w:val="24"/>
                <w:szCs w:val="21"/>
                <w:shd w:val="clear" w:color="auto" w:fill="FFFFFF"/>
              </w:rPr>
              <w:t>（大写）</w:t>
            </w:r>
          </w:p>
        </w:tc>
      </w:tr>
    </w:tbl>
    <w:p/>
    <w:p>
      <w:pPr>
        <w:pStyle w:val="3"/>
        <w:spacing w:after="100" w:afterAutospacing="1" w:line="480" w:lineRule="auto"/>
        <w:rPr>
          <w:color w:val="000000"/>
          <w:sz w:val="36"/>
          <w:szCs w:val="36"/>
        </w:rPr>
      </w:pPr>
    </w:p>
    <w:p>
      <w:pPr>
        <w:pStyle w:val="3"/>
        <w:spacing w:after="100" w:afterAutospacing="1" w:line="480" w:lineRule="auto"/>
        <w:jc w:val="center"/>
        <w:rPr>
          <w:color w:val="000000"/>
          <w:sz w:val="36"/>
          <w:szCs w:val="36"/>
        </w:rPr>
      </w:pPr>
      <w:r>
        <w:rPr>
          <w:color w:val="000000"/>
          <w:sz w:val="36"/>
          <w:szCs w:val="36"/>
        </w:rPr>
        <w:br w:type="page"/>
      </w:r>
      <w:r>
        <w:rPr>
          <w:rFonts w:hint="eastAsia"/>
          <w:color w:val="000000"/>
          <w:sz w:val="36"/>
          <w:szCs w:val="36"/>
        </w:rPr>
        <w:t>第五部分</w:t>
      </w:r>
      <w:r>
        <w:rPr>
          <w:color w:val="000000"/>
          <w:sz w:val="36"/>
          <w:szCs w:val="36"/>
        </w:rPr>
        <w:t xml:space="preserve">   </w:t>
      </w:r>
      <w:r>
        <w:rPr>
          <w:rFonts w:hint="eastAsia"/>
          <w:color w:val="000000"/>
          <w:sz w:val="36"/>
          <w:szCs w:val="36"/>
        </w:rPr>
        <w:t>响应文件格式</w:t>
      </w:r>
      <w:bookmarkEnd w:id="6"/>
    </w:p>
    <w:p>
      <w:pPr>
        <w:pStyle w:val="5"/>
        <w:numPr>
          <w:ilvl w:val="1"/>
          <w:numId w:val="12"/>
        </w:numPr>
        <w:spacing w:before="240" w:beforeLines="100"/>
        <w:rPr>
          <w:rFonts w:ascii="方正仿宋_GBK" w:eastAsia="方正仿宋_GBK"/>
          <w:color w:val="000000"/>
          <w:sz w:val="28"/>
        </w:rPr>
      </w:pPr>
      <w:bookmarkStart w:id="7" w:name="_Toc306798308"/>
      <w:bookmarkStart w:id="8" w:name="_Toc306798307"/>
      <w:r>
        <w:rPr>
          <w:rFonts w:hint="eastAsia" w:ascii="方正仿宋_GBK" w:eastAsia="方正仿宋_GBK"/>
          <w:color w:val="000000"/>
          <w:sz w:val="28"/>
        </w:rPr>
        <w:t>响应函格式</w:t>
      </w:r>
      <w:bookmarkEnd w:id="7"/>
    </w:p>
    <w:p>
      <w:pPr>
        <w:spacing w:line="500" w:lineRule="exact"/>
        <w:ind w:firstLine="643" w:firstLineChars="200"/>
        <w:jc w:val="center"/>
        <w:rPr>
          <w:rFonts w:ascii="宋体" w:hAnsi="宋体"/>
          <w:b/>
          <w:color w:val="000000"/>
          <w:sz w:val="32"/>
          <w:szCs w:val="32"/>
        </w:rPr>
      </w:pPr>
      <w:r>
        <w:rPr>
          <w:rFonts w:hint="eastAsia" w:ascii="宋体" w:hAnsi="宋体"/>
          <w:b/>
          <w:color w:val="000000"/>
          <w:sz w:val="32"/>
          <w:szCs w:val="32"/>
        </w:rPr>
        <w:t>响应函</w:t>
      </w:r>
    </w:p>
    <w:p>
      <w:pPr>
        <w:tabs>
          <w:tab w:val="left" w:pos="6300"/>
        </w:tabs>
        <w:spacing w:line="500" w:lineRule="exact"/>
        <w:rPr>
          <w:rFonts w:ascii="方正仿宋_GBK" w:hAnsi="宋体" w:eastAsia="方正仿宋_GBK"/>
          <w:color w:val="000000"/>
          <w:sz w:val="24"/>
          <w:szCs w:val="28"/>
        </w:rPr>
      </w:pPr>
    </w:p>
    <w:p>
      <w:pPr>
        <w:tabs>
          <w:tab w:val="left" w:pos="6300"/>
        </w:tabs>
        <w:spacing w:line="500" w:lineRule="exact"/>
        <w:rPr>
          <w:rFonts w:ascii="方正仿宋_GBK" w:hAnsi="宋体" w:eastAsia="方正仿宋_GBK"/>
          <w:color w:val="000000"/>
          <w:sz w:val="24"/>
          <w:szCs w:val="28"/>
        </w:rPr>
      </w:pPr>
      <w:r>
        <w:rPr>
          <w:rFonts w:hint="eastAsia" w:ascii="方正仿宋_GBK" w:hAnsi="宋体" w:eastAsia="方正仿宋_GBK"/>
          <w:color w:val="000000"/>
          <w:sz w:val="24"/>
          <w:szCs w:val="28"/>
        </w:rPr>
        <w:t>致：</w:t>
      </w:r>
      <w:r>
        <w:rPr>
          <w:rFonts w:hint="eastAsia" w:ascii="方正仿宋_GBK" w:hAnsi="宋体" w:eastAsia="方正仿宋_GBK"/>
          <w:color w:val="000000"/>
          <w:sz w:val="24"/>
          <w:szCs w:val="28"/>
          <w:u w:val="single"/>
        </w:rPr>
        <w:t xml:space="preserve"> 重庆银行股份有限公司</w:t>
      </w:r>
      <w:r>
        <w:rPr>
          <w:rFonts w:hint="eastAsia" w:ascii="方正仿宋_GBK" w:hAnsi="宋体" w:eastAsia="方正仿宋_GBK"/>
          <w:color w:val="000000"/>
          <w:sz w:val="24"/>
          <w:szCs w:val="28"/>
        </w:rPr>
        <w:t>：</w:t>
      </w:r>
    </w:p>
    <w:p>
      <w:pPr>
        <w:spacing w:before="120" w:beforeLines="50"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根据贵方采购编号为</w:t>
      </w:r>
      <w:r>
        <w:rPr>
          <w:rFonts w:hint="eastAsia" w:ascii="方正仿宋_GBK" w:hAnsi="宋体" w:eastAsia="方正仿宋_GBK"/>
          <w:color w:val="000000"/>
          <w:sz w:val="24"/>
          <w:szCs w:val="28"/>
          <w:u w:val="single"/>
        </w:rPr>
        <w:t xml:space="preserve">        </w:t>
      </w:r>
      <w:r>
        <w:rPr>
          <w:rFonts w:hint="eastAsia" w:ascii="方正仿宋_GBK" w:hAnsi="宋体" w:eastAsia="方正仿宋_GBK"/>
          <w:color w:val="000000"/>
          <w:sz w:val="24"/>
          <w:szCs w:val="28"/>
        </w:rPr>
        <w:t>，（项目名称）</w:t>
      </w:r>
      <w:r>
        <w:rPr>
          <w:rFonts w:hint="eastAsia" w:ascii="方正仿宋_GBK" w:hAnsi="宋体" w:eastAsia="方正仿宋_GBK"/>
          <w:color w:val="000000"/>
          <w:sz w:val="24"/>
          <w:szCs w:val="28"/>
          <w:u w:val="single"/>
        </w:rPr>
        <w:t xml:space="preserve">                </w:t>
      </w:r>
      <w:r>
        <w:rPr>
          <w:rFonts w:hint="eastAsia" w:ascii="方正仿宋_GBK" w:hAnsi="宋体" w:eastAsia="方正仿宋_GBK"/>
          <w:color w:val="000000"/>
          <w:sz w:val="24"/>
          <w:szCs w:val="28"/>
        </w:rPr>
        <w:t>的采购文件，我单位正式授权下述签字人(姓名和职务)</w:t>
      </w:r>
      <w:r>
        <w:rPr>
          <w:rFonts w:hint="eastAsia" w:ascii="方正仿宋_GBK" w:hAnsi="宋体" w:eastAsia="方正仿宋_GBK"/>
          <w:color w:val="000000"/>
          <w:sz w:val="24"/>
          <w:szCs w:val="28"/>
          <w:u w:val="single"/>
        </w:rPr>
        <w:t xml:space="preserve">           </w:t>
      </w:r>
      <w:r>
        <w:rPr>
          <w:rFonts w:hint="eastAsia" w:ascii="方正仿宋_GBK" w:hAnsi="宋体" w:eastAsia="方正仿宋_GBK"/>
          <w:color w:val="000000"/>
          <w:sz w:val="24"/>
          <w:szCs w:val="28"/>
        </w:rPr>
        <w:t>代表我方（供应商名称）</w:t>
      </w:r>
      <w:r>
        <w:rPr>
          <w:rFonts w:hint="eastAsia" w:ascii="方正仿宋_GBK" w:hAnsi="宋体" w:eastAsia="方正仿宋_GBK"/>
          <w:color w:val="000000"/>
          <w:sz w:val="24"/>
          <w:szCs w:val="28"/>
          <w:u w:val="single"/>
        </w:rPr>
        <w:t xml:space="preserve">             </w:t>
      </w:r>
      <w:r>
        <w:rPr>
          <w:rFonts w:hint="eastAsia" w:ascii="方正仿宋_GBK" w:hAnsi="宋体" w:eastAsia="方正仿宋_GBK"/>
          <w:color w:val="000000"/>
          <w:sz w:val="24"/>
          <w:szCs w:val="28"/>
        </w:rPr>
        <w:t>，提交下述文件正本壹份，副本壹份，电子文档壹份。若本项目为线上评审，同时授权其电子邮箱（</w:t>
      </w:r>
      <w:r>
        <w:rPr>
          <w:rFonts w:hint="eastAsia" w:ascii="方正仿宋_GBK" w:hAnsi="宋体" w:eastAsia="方正仿宋_GBK"/>
          <w:color w:val="000000"/>
          <w:sz w:val="24"/>
          <w:szCs w:val="28"/>
          <w:u w:val="single"/>
        </w:rPr>
        <w:t xml:space="preserve">邮箱地址：          </w:t>
      </w:r>
      <w:r>
        <w:rPr>
          <w:rFonts w:hint="eastAsia" w:ascii="方正仿宋_GBK" w:hAnsi="宋体" w:eastAsia="方正仿宋_GBK"/>
          <w:color w:val="000000"/>
          <w:sz w:val="24"/>
          <w:szCs w:val="28"/>
        </w:rPr>
        <w:t>）发送谈判及报价资料。</w:t>
      </w:r>
    </w:p>
    <w:p>
      <w:pPr>
        <w:spacing w:before="120" w:beforeLines="50"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据此函，签字人兹宣布同意如下：</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一、报价</w:t>
      </w:r>
      <w:r>
        <w:rPr>
          <w:rFonts w:hint="eastAsia" w:ascii="方正仿宋_GBK" w:hAnsi="宋体" w:eastAsia="方正仿宋_GBK"/>
          <w:color w:val="000000"/>
          <w:sz w:val="24"/>
          <w:szCs w:val="28"/>
          <w:u w:val="single"/>
        </w:rPr>
        <w:t>详见报价明细表</w:t>
      </w:r>
      <w:r>
        <w:rPr>
          <w:rFonts w:hint="eastAsia" w:ascii="方正仿宋_GBK" w:hAnsi="宋体" w:eastAsia="方正仿宋_GBK"/>
          <w:color w:val="000000"/>
          <w:sz w:val="24"/>
          <w:szCs w:val="28"/>
        </w:rPr>
        <w:t>。</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二、我方完全理解并接受该项目采购文件所有要求。</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三、我方提交的所有响应文件、资料都是准确和真实的，如有虚假或隐瞒，我方愿意承担一切法律责任。</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四、如果我方成交，我方将履行采购文件中规定的各项要求以及我方响应文件的各项承诺，按《民法典》、合同约定条款及相关法律法规承担我方责任。</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五、我方理解，最低报价不是成交的唯一条件。</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六、本响应文件自评审之日起90天内有效。</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七、与本此采购有关的一切往来通讯请寄：</w:t>
      </w:r>
    </w:p>
    <w:p>
      <w:pPr>
        <w:tabs>
          <w:tab w:val="left" w:pos="6300"/>
        </w:tabs>
        <w:spacing w:line="500" w:lineRule="exact"/>
        <w:ind w:firstLine="480" w:firstLineChars="200"/>
        <w:rPr>
          <w:rFonts w:ascii="方正仿宋_GBK" w:hAnsi="宋体" w:eastAsia="方正仿宋_GBK"/>
          <w:color w:val="000000"/>
          <w:sz w:val="24"/>
          <w:szCs w:val="28"/>
          <w:u w:val="single"/>
        </w:rPr>
      </w:pPr>
      <w:r>
        <w:rPr>
          <w:rFonts w:hint="eastAsia" w:ascii="方正仿宋_GBK" w:hAnsi="宋体" w:eastAsia="方正仿宋_GBK"/>
          <w:color w:val="000000"/>
          <w:sz w:val="24"/>
          <w:szCs w:val="28"/>
        </w:rPr>
        <w:t>地址：                               邮编：</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电话：                               传真：</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供应商（盖章）：</w:t>
      </w:r>
    </w:p>
    <w:p>
      <w:pPr>
        <w:tabs>
          <w:tab w:val="left" w:pos="6300"/>
        </w:tabs>
        <w:spacing w:line="500" w:lineRule="exact"/>
        <w:ind w:firstLine="480" w:firstLineChars="200"/>
        <w:rPr>
          <w:rFonts w:ascii="方正仿宋_GBK" w:hAnsi="宋体" w:eastAsia="方正仿宋_GBK"/>
          <w:color w:val="000000"/>
          <w:sz w:val="24"/>
          <w:szCs w:val="28"/>
        </w:rPr>
      </w:pPr>
      <w:r>
        <w:rPr>
          <w:rFonts w:hint="eastAsia" w:ascii="方正仿宋_GBK" w:hAnsi="宋体" w:eastAsia="方正仿宋_GBK"/>
          <w:color w:val="000000"/>
          <w:sz w:val="24"/>
          <w:szCs w:val="28"/>
        </w:rPr>
        <w:t>法人代表或授权代理人（签字或盖章）：</w:t>
      </w:r>
    </w:p>
    <w:p>
      <w:pPr>
        <w:tabs>
          <w:tab w:val="left" w:pos="6300"/>
        </w:tabs>
        <w:spacing w:line="500" w:lineRule="exact"/>
        <w:ind w:firstLine="6120" w:firstLineChars="2550"/>
        <w:rPr>
          <w:rFonts w:ascii="方正仿宋_GBK" w:hAnsi="宋体" w:eastAsia="方正仿宋_GBK"/>
          <w:color w:val="000000"/>
          <w:sz w:val="24"/>
          <w:szCs w:val="28"/>
        </w:rPr>
      </w:pPr>
      <w:r>
        <w:rPr>
          <w:rFonts w:hint="eastAsia" w:ascii="方正仿宋_GBK" w:hAnsi="宋体" w:eastAsia="方正仿宋_GBK"/>
          <w:color w:val="000000"/>
          <w:sz w:val="24"/>
          <w:szCs w:val="28"/>
        </w:rPr>
        <w:t>年    月    日</w:t>
      </w:r>
    </w:p>
    <w:p>
      <w:pPr>
        <w:tabs>
          <w:tab w:val="left" w:pos="6300"/>
        </w:tabs>
        <w:spacing w:line="500" w:lineRule="exact"/>
        <w:rPr>
          <w:rFonts w:ascii="宋体" w:hAnsi="宋体"/>
          <w:color w:val="000000"/>
          <w:sz w:val="24"/>
        </w:rPr>
        <w:sectPr>
          <w:headerReference r:id="rId7" w:type="first"/>
          <w:headerReference r:id="rId6" w:type="default"/>
          <w:footerReference r:id="rId8" w:type="default"/>
          <w:endnotePr>
            <w:numFmt w:val="decimal"/>
          </w:endnotePr>
          <w:pgSz w:w="11907" w:h="16840"/>
          <w:pgMar w:top="1440" w:right="1800" w:bottom="1440" w:left="1800" w:header="964" w:footer="992" w:gutter="0"/>
          <w:pgNumType w:start="1"/>
          <w:cols w:space="720" w:num="1"/>
          <w:docGrid w:linePitch="380" w:charSpace="-5735"/>
        </w:sectPr>
      </w:pPr>
    </w:p>
    <w:p>
      <w:pPr>
        <w:pStyle w:val="5"/>
        <w:numPr>
          <w:ilvl w:val="1"/>
          <w:numId w:val="12"/>
        </w:numPr>
        <w:spacing w:before="240" w:beforeLines="100"/>
        <w:rPr>
          <w:rFonts w:ascii="方正仿宋_GBK" w:eastAsia="方正仿宋_GBK"/>
          <w:color w:val="000000"/>
          <w:sz w:val="28"/>
        </w:rPr>
      </w:pPr>
      <w:r>
        <w:rPr>
          <w:rFonts w:hint="eastAsia" w:ascii="方正仿宋_GBK" w:eastAsia="方正仿宋_GBK"/>
          <w:color w:val="000000"/>
          <w:sz w:val="28"/>
        </w:rPr>
        <w:t>报价明细表格式</w:t>
      </w:r>
      <w:bookmarkEnd w:id="8"/>
    </w:p>
    <w:p>
      <w:pPr>
        <w:rPr>
          <w:color w:val="000000"/>
          <w:sz w:val="28"/>
        </w:rPr>
      </w:pPr>
    </w:p>
    <w:p>
      <w:pPr>
        <w:jc w:val="center"/>
        <w:rPr>
          <w:b/>
          <w:color w:val="000000"/>
          <w:sz w:val="30"/>
          <w:szCs w:val="30"/>
        </w:rPr>
      </w:pPr>
      <w:r>
        <w:rPr>
          <w:rFonts w:hint="eastAsia" w:ascii="宋体" w:hAnsi="宋体"/>
          <w:b/>
          <w:color w:val="000000"/>
          <w:sz w:val="30"/>
          <w:szCs w:val="30"/>
        </w:rPr>
        <w:t>报价明细表</w:t>
      </w:r>
    </w:p>
    <w:p>
      <w:pPr>
        <w:spacing w:after="120" w:afterLines="50"/>
        <w:jc w:val="center"/>
        <w:rPr>
          <w:rFonts w:ascii="宋体" w:hAnsi="宋体"/>
          <w:b/>
          <w:color w:val="000000"/>
          <w:sz w:val="30"/>
          <w:szCs w:val="30"/>
        </w:rPr>
      </w:pPr>
      <w:r>
        <w:rPr>
          <w:rFonts w:hint="eastAsia" w:ascii="宋体" w:hAnsi="宋体"/>
          <w:b/>
          <w:color w:val="000000"/>
          <w:sz w:val="30"/>
          <w:szCs w:val="30"/>
        </w:rPr>
        <w:t>（第    次）</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1693"/>
        <w:gridCol w:w="716"/>
        <w:gridCol w:w="851"/>
        <w:gridCol w:w="992"/>
        <w:gridCol w:w="1134"/>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75"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序号</w:t>
            </w:r>
          </w:p>
        </w:tc>
        <w:tc>
          <w:tcPr>
            <w:tcW w:w="2127"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设备名称</w:t>
            </w:r>
          </w:p>
        </w:tc>
        <w:tc>
          <w:tcPr>
            <w:tcW w:w="1693"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技术参数</w:t>
            </w:r>
          </w:p>
        </w:tc>
        <w:tc>
          <w:tcPr>
            <w:tcW w:w="716"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数量</w:t>
            </w:r>
          </w:p>
        </w:tc>
        <w:tc>
          <w:tcPr>
            <w:tcW w:w="851"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单位</w:t>
            </w:r>
          </w:p>
        </w:tc>
        <w:tc>
          <w:tcPr>
            <w:tcW w:w="992"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单价</w:t>
            </w:r>
          </w:p>
        </w:tc>
        <w:tc>
          <w:tcPr>
            <w:tcW w:w="1134"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小计金额</w:t>
            </w:r>
          </w:p>
        </w:tc>
        <w:tc>
          <w:tcPr>
            <w:tcW w:w="1667" w:type="dxa"/>
            <w:shd w:val="clear" w:color="auto" w:fill="auto"/>
            <w:vAlign w:val="center"/>
          </w:tcPr>
          <w:p>
            <w:pPr>
              <w:widowControl/>
              <w:spacing w:line="320" w:lineRule="exact"/>
              <w:jc w:val="center"/>
              <w:rPr>
                <w:rFonts w:ascii="方正黑体_GBK" w:hAnsi="黑体" w:eastAsia="方正黑体_GBK" w:cs="黑体"/>
                <w:color w:val="000000"/>
                <w:kern w:val="0"/>
                <w:szCs w:val="21"/>
              </w:rPr>
            </w:pPr>
            <w:r>
              <w:rPr>
                <w:rFonts w:hint="eastAsia" w:ascii="方正黑体_GBK" w:hAnsi="黑体" w:eastAsia="方正黑体_GBK" w:cs="黑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120L气体灭火瓶组</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QMP120/5.3W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6</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瓶</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vMerge w:val="restart"/>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含钢瓶、容器阀、启动阀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90L气体灭火瓶组</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QMP90/5.3W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5</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瓶</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vMerge w:val="continue"/>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3</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70L气体灭火瓶组</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QMP70/5.3W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瓶</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vMerge w:val="continue"/>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4</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七氟丙烷药剂</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HFC-227ea</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1310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kg</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5</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灭火剂气体瓶柜</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MQJ</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6</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连接管</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QRG50/5.3W</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条</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DN50,5.3MPa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7</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信号反馈装置</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XF0.8/17.2</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套</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压力表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2.5MPa</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9</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电磁性驱动装置</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QDQ90N</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10</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气体释放声光警报器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GST-HX-240B</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16</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11</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紧急启停装置</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GST-LD8328</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12</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输入/输出模块</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GST-8301</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16</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13</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感烟（温）探测器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JTY-GD-GST</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40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14</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气体灭火系统控制器</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GST-QKP01</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台</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15</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双绞线</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国标RVS2*1.5</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600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米</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16</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单股铜芯硬线</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国标BV1.5</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200</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米</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17</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sz w:val="22"/>
                <w:szCs w:val="21"/>
                <w:shd w:val="clear" w:color="auto" w:fill="FFFFFF"/>
              </w:rPr>
              <w:t>紧定管</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sz w:val="22"/>
                <w:szCs w:val="21"/>
                <w:shd w:val="clear" w:color="auto" w:fill="FFFFFF"/>
              </w:rPr>
              <w:t>JDG20</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600</w:t>
            </w:r>
          </w:p>
        </w:tc>
        <w:tc>
          <w:tcPr>
            <w:tcW w:w="851" w:type="dxa"/>
            <w:shd w:val="clear" w:color="auto" w:fill="auto"/>
            <w:vAlign w:val="center"/>
          </w:tcPr>
          <w:p>
            <w:pPr>
              <w:adjustRightInd w:val="0"/>
              <w:snapToGrid w:val="0"/>
              <w:spacing w:line="320" w:lineRule="exact"/>
              <w:jc w:val="center"/>
            </w:pPr>
            <w:r>
              <w:rPr>
                <w:rFonts w:hint="eastAsia" w:ascii="方正仿宋_GBK" w:hAnsi="方正仿宋_GBK" w:eastAsia="方正仿宋_GBK" w:cs="方正仿宋_GBK"/>
                <w:color w:val="000000"/>
                <w:sz w:val="22"/>
                <w:szCs w:val="21"/>
                <w:shd w:val="clear" w:color="auto" w:fill="FFFFFF"/>
              </w:rPr>
              <w:t>米</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18</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原有气体灭火系统拆除（含报废处理）</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13</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r>
              <w:rPr>
                <w:rFonts w:hint="eastAsia" w:ascii="方正仿宋_GBK" w:hAnsi="方正仿宋_GBK" w:eastAsia="方正仿宋_GBK" w:cs="方正仿宋_GBK"/>
                <w:color w:val="000000"/>
                <w:sz w:val="22"/>
                <w:szCs w:val="21"/>
                <w:shd w:val="clear" w:color="auto" w:fill="FFFFFF"/>
              </w:rPr>
              <w:t>套</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 w:val="22"/>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left"/>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 w:val="22"/>
                <w:szCs w:val="21"/>
                <w:shd w:val="clear" w:color="auto" w:fill="FFFFFF"/>
              </w:rPr>
              <w:t>含控制盘、灭火器储罐、感烟感温探测器、柜体线路、应急启动装置等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19</w:t>
            </w:r>
          </w:p>
        </w:tc>
        <w:tc>
          <w:tcPr>
            <w:tcW w:w="212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泄压口</w:t>
            </w:r>
          </w:p>
        </w:tc>
        <w:tc>
          <w:tcPr>
            <w:tcW w:w="1693"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200mm*200mm</w:t>
            </w:r>
          </w:p>
        </w:tc>
        <w:tc>
          <w:tcPr>
            <w:tcW w:w="716"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8</w:t>
            </w:r>
          </w:p>
        </w:tc>
        <w:tc>
          <w:tcPr>
            <w:tcW w:w="851"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r>
              <w:rPr>
                <w:rFonts w:hint="eastAsia" w:ascii="方正仿宋_GBK" w:hAnsi="方正仿宋_GBK" w:eastAsia="方正仿宋_GBK" w:cs="方正仿宋_GBK"/>
                <w:color w:val="000000"/>
                <w:szCs w:val="21"/>
                <w:shd w:val="clear" w:color="auto" w:fill="FFFFFF"/>
              </w:rPr>
              <w:t>个</w:t>
            </w:r>
          </w:p>
        </w:tc>
        <w:tc>
          <w:tcPr>
            <w:tcW w:w="992"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134"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c>
          <w:tcPr>
            <w:tcW w:w="1667" w:type="dxa"/>
            <w:shd w:val="clear" w:color="auto" w:fill="auto"/>
            <w:vAlign w:val="center"/>
          </w:tcPr>
          <w:p>
            <w:pPr>
              <w:adjustRightInd w:val="0"/>
              <w:snapToGrid w:val="0"/>
              <w:spacing w:line="320" w:lineRule="exact"/>
              <w:jc w:val="center"/>
              <w:rPr>
                <w:rFonts w:ascii="方正仿宋_GBK" w:hAnsi="方正仿宋_GBK" w:eastAsia="方正仿宋_GBK" w:cs="方正仿宋_GBK"/>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5" w:type="dxa"/>
            <w:gridSpan w:val="3"/>
            <w:vMerge w:val="restart"/>
            <w:shd w:val="clear" w:color="auto" w:fill="auto"/>
            <w:vAlign w:val="center"/>
          </w:tcPr>
          <w:p>
            <w:pPr>
              <w:adjustRightInd w:val="0"/>
              <w:snapToGrid w:val="0"/>
              <w:spacing w:line="320" w:lineRule="exact"/>
              <w:jc w:val="right"/>
              <w:rPr>
                <w:rFonts w:ascii="方正仿宋_GBK" w:hAnsi="方正仿宋_GBK" w:eastAsia="方正仿宋_GBK" w:cs="方正仿宋_GBK"/>
                <w:b/>
                <w:color w:val="000000"/>
                <w:sz w:val="24"/>
                <w:szCs w:val="21"/>
                <w:shd w:val="clear" w:color="auto" w:fill="FFFFFF"/>
              </w:rPr>
            </w:pPr>
            <w:r>
              <w:rPr>
                <w:rFonts w:hint="eastAsia" w:ascii="方正仿宋_GBK" w:hAnsi="方正仿宋_GBK" w:eastAsia="方正仿宋_GBK" w:cs="方正仿宋_GBK"/>
                <w:b/>
                <w:color w:val="000000"/>
                <w:sz w:val="24"/>
                <w:szCs w:val="21"/>
                <w:shd w:val="clear" w:color="auto" w:fill="FFFFFF"/>
              </w:rPr>
              <w:t>合计金额（元）</w:t>
            </w:r>
          </w:p>
        </w:tc>
        <w:tc>
          <w:tcPr>
            <w:tcW w:w="5360" w:type="dxa"/>
            <w:gridSpan w:val="5"/>
            <w:shd w:val="clear" w:color="auto" w:fill="auto"/>
            <w:vAlign w:val="center"/>
          </w:tcPr>
          <w:p>
            <w:pPr>
              <w:adjustRightInd w:val="0"/>
              <w:snapToGrid w:val="0"/>
              <w:spacing w:line="320" w:lineRule="exact"/>
              <w:jc w:val="left"/>
              <w:rPr>
                <w:rFonts w:ascii="方正仿宋_GBK" w:hAnsi="方正仿宋_GBK" w:eastAsia="方正仿宋_GBK" w:cs="方正仿宋_GBK"/>
                <w:b/>
                <w:color w:val="000000"/>
                <w:sz w:val="24"/>
                <w:szCs w:val="21"/>
                <w:shd w:val="clear" w:color="auto" w:fill="FFFFFF"/>
              </w:rPr>
            </w:pPr>
            <w:r>
              <w:rPr>
                <w:rFonts w:ascii="方正仿宋_GBK" w:hAnsi="方正仿宋_GBK" w:eastAsia="方正仿宋_GBK" w:cs="方正仿宋_GBK"/>
                <w:b/>
                <w:color w:val="000000"/>
                <w:sz w:val="24"/>
                <w:szCs w:val="21"/>
                <w:shd w:val="clear" w:color="auto" w:fill="FFFFFF"/>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95" w:type="dxa"/>
            <w:gridSpan w:val="3"/>
            <w:vMerge w:val="continue"/>
            <w:shd w:val="clear" w:color="auto" w:fill="auto"/>
            <w:vAlign w:val="center"/>
          </w:tcPr>
          <w:p>
            <w:pPr>
              <w:adjustRightInd w:val="0"/>
              <w:snapToGrid w:val="0"/>
              <w:spacing w:line="320" w:lineRule="exact"/>
              <w:jc w:val="center"/>
              <w:rPr>
                <w:rFonts w:ascii="方正仿宋_GBK" w:hAnsi="方正仿宋_GBK" w:eastAsia="方正仿宋_GBK" w:cs="方正仿宋_GBK"/>
                <w:b/>
                <w:color w:val="000000"/>
                <w:sz w:val="24"/>
                <w:szCs w:val="21"/>
                <w:shd w:val="clear" w:color="auto" w:fill="FFFFFF"/>
              </w:rPr>
            </w:pPr>
          </w:p>
        </w:tc>
        <w:tc>
          <w:tcPr>
            <w:tcW w:w="5360" w:type="dxa"/>
            <w:gridSpan w:val="5"/>
            <w:shd w:val="clear" w:color="auto" w:fill="auto"/>
            <w:vAlign w:val="center"/>
          </w:tcPr>
          <w:p>
            <w:pPr>
              <w:adjustRightInd w:val="0"/>
              <w:snapToGrid w:val="0"/>
              <w:spacing w:line="320" w:lineRule="exact"/>
              <w:jc w:val="left"/>
              <w:rPr>
                <w:rFonts w:ascii="方正仿宋_GBK" w:hAnsi="方正仿宋_GBK" w:eastAsia="方正仿宋_GBK" w:cs="方正仿宋_GBK"/>
                <w:b/>
                <w:color w:val="000000"/>
                <w:sz w:val="24"/>
                <w:szCs w:val="21"/>
                <w:shd w:val="clear" w:color="auto" w:fill="FFFFFF"/>
              </w:rPr>
            </w:pPr>
            <w:r>
              <w:rPr>
                <w:rFonts w:ascii="方正仿宋_GBK" w:hAnsi="方正仿宋_GBK" w:eastAsia="方正仿宋_GBK" w:cs="方正仿宋_GBK"/>
                <w:b/>
                <w:color w:val="000000"/>
                <w:sz w:val="24"/>
                <w:szCs w:val="21"/>
                <w:shd w:val="clear" w:color="auto" w:fill="FFFFFF"/>
              </w:rPr>
              <w:t>（大写）</w:t>
            </w:r>
          </w:p>
        </w:tc>
      </w:tr>
    </w:tbl>
    <w:p>
      <w:pPr>
        <w:rPr>
          <w:rFonts w:ascii="方正仿宋_GBK" w:eastAsia="方正仿宋_GBK"/>
          <w:color w:val="000000"/>
          <w:sz w:val="24"/>
        </w:rPr>
      </w:pPr>
    </w:p>
    <w:p>
      <w:pPr>
        <w:tabs>
          <w:tab w:val="left" w:pos="6300"/>
        </w:tabs>
        <w:spacing w:line="500" w:lineRule="exact"/>
        <w:ind w:firstLine="480" w:firstLineChars="200"/>
        <w:rPr>
          <w:rFonts w:ascii="方正仿宋_GBK" w:hAnsi="宋体" w:eastAsia="方正仿宋_GBK"/>
          <w:color w:val="000000"/>
          <w:sz w:val="24"/>
        </w:rPr>
      </w:pPr>
      <w:r>
        <w:rPr>
          <w:rFonts w:hint="eastAsia" w:ascii="方正仿宋_GBK" w:hAnsi="宋体" w:eastAsia="方正仿宋_GBK"/>
          <w:color w:val="000000"/>
          <w:sz w:val="24"/>
        </w:rPr>
        <w:t>1. 请供应商自备此空白报价表（需盖鲜章），用于第二次报价。第二次报价若对总报价进行了下浮（和第一次报价相比），则最终的各项单价同比例下浮，在结算时按最终同比例下浮后的单价进行结算。</w:t>
      </w:r>
    </w:p>
    <w:p>
      <w:pPr>
        <w:tabs>
          <w:tab w:val="left" w:pos="6300"/>
        </w:tabs>
        <w:spacing w:line="500" w:lineRule="exact"/>
        <w:ind w:firstLine="480" w:firstLineChars="200"/>
        <w:rPr>
          <w:rFonts w:ascii="方正仿宋_GBK" w:hAnsi="宋体" w:eastAsia="方正仿宋_GBK"/>
          <w:color w:val="000000"/>
          <w:sz w:val="24"/>
        </w:rPr>
      </w:pPr>
      <w:r>
        <w:rPr>
          <w:rFonts w:hint="eastAsia" w:ascii="方正仿宋_GBK" w:eastAsia="方正仿宋_GBK"/>
          <w:sz w:val="24"/>
        </w:rPr>
        <w:t>2. 采</w:t>
      </w:r>
      <w:r>
        <w:rPr>
          <w:rFonts w:hint="eastAsia" w:ascii="方正仿宋_GBK" w:hAnsi="宋体" w:eastAsia="方正仿宋_GBK"/>
          <w:color w:val="000000"/>
          <w:sz w:val="24"/>
        </w:rPr>
        <w:t>购预算：28万元（超此限价作无效报价处理）。</w:t>
      </w:r>
    </w:p>
    <w:p>
      <w:pPr>
        <w:rPr>
          <w:rFonts w:ascii="方正仿宋_GBK" w:hAnsi="方正仿宋_GBK" w:eastAsia="方正仿宋_GBK" w:cs="方正仿宋_GBK"/>
          <w:sz w:val="24"/>
        </w:rPr>
      </w:pPr>
    </w:p>
    <w:p>
      <w:pPr>
        <w:pStyle w:val="5"/>
      </w:pPr>
    </w:p>
    <w:p/>
    <w:p>
      <w:pPr>
        <w:pStyle w:val="29"/>
      </w:pPr>
    </w:p>
    <w:p>
      <w:pP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供 应 商：                                 法人代表或授权代理人：</w:t>
      </w:r>
    </w:p>
    <w:p>
      <w:pPr>
        <w:rPr>
          <w:rFonts w:ascii="方正仿宋_GBK" w:hAnsi="方正仿宋_GBK" w:eastAsia="方正仿宋_GBK" w:cs="方正仿宋_GBK"/>
          <w:szCs w:val="21"/>
        </w:rPr>
      </w:pPr>
      <w:r>
        <w:rPr>
          <w:rFonts w:hint="eastAsia" w:ascii="方正仿宋_GBK" w:hAnsi="方正仿宋_GBK" w:eastAsia="方正仿宋_GBK" w:cs="方正仿宋_GBK"/>
          <w:sz w:val="24"/>
        </w:rPr>
        <w:t xml:space="preserve">   （盖章）                                    （签字或盖章）</w:t>
      </w:r>
    </w:p>
    <w:p>
      <w:pPr>
        <w:ind w:firstLine="2280" w:firstLineChars="950"/>
        <w:rPr>
          <w:rFonts w:ascii="方正仿宋_GBK" w:hAnsi="方正仿宋_GBK" w:eastAsia="方正仿宋_GBK" w:cs="方正仿宋_GBK"/>
          <w:sz w:val="24"/>
        </w:rPr>
      </w:pPr>
    </w:p>
    <w:p>
      <w:pPr>
        <w:ind w:firstLine="2280" w:firstLineChars="950"/>
        <w:rPr>
          <w:rFonts w:ascii="方正仿宋_GBK" w:hAnsi="方正仿宋_GBK" w:eastAsia="方正仿宋_GBK" w:cs="方正仿宋_GBK"/>
          <w:sz w:val="24"/>
        </w:rPr>
      </w:pPr>
    </w:p>
    <w:p>
      <w:pPr>
        <w:ind w:firstLine="2280" w:firstLineChars="950"/>
        <w:rPr>
          <w:rFonts w:ascii="方正仿宋_GBK" w:hAnsi="宋体" w:eastAsia="方正仿宋_GBK"/>
          <w:color w:val="000000"/>
          <w:sz w:val="28"/>
          <w:szCs w:val="28"/>
        </w:rPr>
      </w:pPr>
      <w:r>
        <w:rPr>
          <w:rFonts w:hint="eastAsia" w:ascii="方正仿宋_GBK" w:hAnsi="方正仿宋_GBK" w:eastAsia="方正仿宋_GBK" w:cs="方正仿宋_GBK"/>
          <w:sz w:val="24"/>
        </w:rPr>
        <w:t xml:space="preserve">                               年    月    日</w:t>
      </w:r>
    </w:p>
    <w:p>
      <w:pPr>
        <w:spacing w:line="500" w:lineRule="exact"/>
        <w:rPr>
          <w:rFonts w:ascii="方正仿宋_GBK" w:hAnsi="宋体" w:eastAsia="方正仿宋_GBK"/>
          <w:color w:val="000000"/>
          <w:sz w:val="28"/>
          <w:szCs w:val="28"/>
        </w:rPr>
        <w:sectPr>
          <w:headerReference r:id="rId9" w:type="default"/>
          <w:endnotePr>
            <w:numFmt w:val="decimal"/>
          </w:endnotePr>
          <w:pgSz w:w="11907" w:h="16840"/>
          <w:pgMar w:top="1418" w:right="1134" w:bottom="1418" w:left="1134" w:header="964" w:footer="992" w:gutter="0"/>
          <w:cols w:space="720" w:num="1"/>
          <w:docGrid w:linePitch="380" w:charSpace="-5735"/>
        </w:sectPr>
      </w:pPr>
    </w:p>
    <w:p>
      <w:pPr>
        <w:pStyle w:val="5"/>
        <w:numPr>
          <w:ilvl w:val="1"/>
          <w:numId w:val="12"/>
        </w:numPr>
        <w:spacing w:before="240" w:beforeLines="100"/>
        <w:rPr>
          <w:rFonts w:ascii="方正仿宋_GBK" w:eastAsia="方正仿宋_GBK"/>
          <w:color w:val="000000"/>
          <w:sz w:val="28"/>
        </w:rPr>
      </w:pPr>
      <w:bookmarkStart w:id="9" w:name="_Toc306798310"/>
      <w:bookmarkStart w:id="10" w:name="_Toc161727398"/>
      <w:r>
        <w:rPr>
          <w:rFonts w:hint="eastAsia" w:ascii="方正仿宋_GBK" w:hAnsi="宋体" w:eastAsia="方正仿宋_GBK"/>
          <w:color w:val="000000"/>
          <w:sz w:val="28"/>
        </w:rPr>
        <w:t>法人营业执照书复印件（加盖公章）</w:t>
      </w:r>
      <w:bookmarkEnd w:id="9"/>
    </w:p>
    <w:p>
      <w:pPr>
        <w:pStyle w:val="5"/>
        <w:numPr>
          <w:ilvl w:val="1"/>
          <w:numId w:val="12"/>
        </w:numPr>
        <w:spacing w:before="240" w:beforeLines="100"/>
        <w:rPr>
          <w:rFonts w:ascii="方正仿宋_GBK" w:eastAsia="方正仿宋_GBK"/>
          <w:color w:val="000000"/>
          <w:sz w:val="28"/>
        </w:rPr>
      </w:pPr>
      <w:r>
        <w:rPr>
          <w:rFonts w:hint="eastAsia" w:ascii="方正仿宋_GBK" w:eastAsia="方正仿宋_GBK"/>
          <w:color w:val="000000"/>
          <w:sz w:val="28"/>
        </w:rPr>
        <w:t>法定代表人授权委托书格式</w:t>
      </w:r>
    </w:p>
    <w:p>
      <w:pPr>
        <w:spacing w:line="360" w:lineRule="auto"/>
        <w:rPr>
          <w:rFonts w:ascii="宋体" w:hAnsi="宋体"/>
          <w:b/>
          <w:bCs/>
          <w:color w:val="000000"/>
          <w:sz w:val="24"/>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法定代表人授权委托书</w:t>
      </w:r>
    </w:p>
    <w:p>
      <w:pPr>
        <w:spacing w:line="500" w:lineRule="exact"/>
        <w:rPr>
          <w:rFonts w:ascii="方正仿宋_GBK" w:hAnsi="宋体" w:eastAsia="方正仿宋_GBK"/>
          <w:color w:val="000000"/>
          <w:sz w:val="28"/>
          <w:szCs w:val="28"/>
        </w:rPr>
      </w:pPr>
      <w:r>
        <w:rPr>
          <w:rFonts w:hint="eastAsia" w:ascii="方正仿宋_GBK" w:hAnsi="宋体" w:eastAsia="方正仿宋_GBK"/>
          <w:bCs/>
          <w:color w:val="000000"/>
          <w:spacing w:val="8"/>
          <w:sz w:val="28"/>
          <w:szCs w:val="28"/>
        </w:rPr>
        <w:t>致：</w:t>
      </w:r>
    </w:p>
    <w:p>
      <w:pPr>
        <w:spacing w:line="50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本授权书声明：注册于（供应商住址）</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的（供应商名称）</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法定代表人（法定代表人姓名）</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代表本单位授权（供应商代表姓名、职务）</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为本单位的合法代理人，就贵方组织的项目名称</w:t>
      </w:r>
      <w:r>
        <w:rPr>
          <w:rFonts w:hint="eastAsia" w:ascii="方正仿宋_GBK" w:eastAsia="方正仿宋_GBK"/>
          <w:color w:val="000000"/>
          <w:sz w:val="28"/>
          <w:u w:val="single"/>
        </w:rPr>
        <w:t xml:space="preserve">               </w:t>
      </w:r>
      <w:r>
        <w:rPr>
          <w:rFonts w:hint="eastAsia" w:ascii="方正仿宋_GBK" w:hAnsi="宋体" w:eastAsia="方正仿宋_GBK"/>
          <w:color w:val="000000"/>
          <w:sz w:val="28"/>
          <w:szCs w:val="28"/>
        </w:rPr>
        <w:t>，项目编号</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号进行谈判，以本单位名义处理一切与之有关的事务。</w:t>
      </w:r>
    </w:p>
    <w:p>
      <w:pPr>
        <w:spacing w:line="50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 xml:space="preserve">    本授权书于</w:t>
      </w:r>
      <w:r>
        <w:rPr>
          <w:rFonts w:hint="eastAsia" w:ascii="方正仿宋_GBK" w:hAnsi="宋体" w:eastAsia="方正仿宋_GBK"/>
          <w:color w:val="000000"/>
          <w:sz w:val="28"/>
          <w:szCs w:val="28"/>
          <w:u w:val="single"/>
        </w:rPr>
        <w:t xml:space="preserve">     年  月  日</w:t>
      </w:r>
      <w:r>
        <w:rPr>
          <w:rFonts w:hint="eastAsia" w:ascii="方正仿宋_GBK" w:hAnsi="宋体" w:eastAsia="方正仿宋_GBK"/>
          <w:color w:val="000000"/>
          <w:sz w:val="28"/>
          <w:szCs w:val="28"/>
        </w:rPr>
        <w:t>签字生效，有效期为</w:t>
      </w:r>
      <w:r>
        <w:rPr>
          <w:rFonts w:hint="eastAsia" w:ascii="方正仿宋_GBK" w:hAnsi="宋体" w:eastAsia="方正仿宋_GBK"/>
          <w:color w:val="000000"/>
          <w:sz w:val="28"/>
          <w:szCs w:val="28"/>
          <w:u w:val="single"/>
        </w:rPr>
        <w:t>90</w:t>
      </w:r>
      <w:r>
        <w:rPr>
          <w:rFonts w:hint="eastAsia" w:ascii="方正仿宋_GBK" w:hAnsi="宋体" w:eastAsia="方正仿宋_GBK"/>
          <w:color w:val="000000"/>
          <w:sz w:val="28"/>
          <w:szCs w:val="28"/>
        </w:rPr>
        <w:t>天。在撤消授权的书面通知以前，本授权书一直有效。被授权人在授权书有效期内签署的所有文件不因授权的撤消而失效。代理人无转委托权。特此声明。</w:t>
      </w:r>
    </w:p>
    <w:p>
      <w:pPr>
        <w:spacing w:line="440" w:lineRule="exact"/>
        <w:rPr>
          <w:rFonts w:ascii="方正仿宋_GBK" w:hAnsi="宋体" w:eastAsia="方正仿宋_GBK"/>
          <w:color w:val="000000"/>
          <w:sz w:val="28"/>
          <w:szCs w:val="28"/>
        </w:rPr>
      </w:pPr>
    </w:p>
    <w:p>
      <w:pPr>
        <w:spacing w:line="44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供应商（盖章）：</w:t>
      </w:r>
    </w:p>
    <w:p>
      <w:pPr>
        <w:spacing w:line="44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法定代表人（签字或盖章）：                 授权代理人（签字或盖章）：</w:t>
      </w:r>
    </w:p>
    <w:p>
      <w:pPr>
        <w:tabs>
          <w:tab w:val="left" w:pos="1440"/>
        </w:tabs>
        <w:spacing w:line="440" w:lineRule="exact"/>
        <w:rPr>
          <w:rFonts w:ascii="方正仿宋_GBK" w:hAnsi="宋体" w:eastAsia="方正仿宋_GBK"/>
          <w:color w:val="000000"/>
          <w:sz w:val="28"/>
          <w:szCs w:val="28"/>
        </w:rPr>
      </w:pPr>
      <w:r>
        <w:rPr>
          <w:rFonts w:hint="eastAsia" w:ascii="方正仿宋_GBK" w:hAnsi="宋体" w:eastAsia="方正仿宋_GBK"/>
          <w:color w:val="000000"/>
          <w:sz w:val="28"/>
          <w:szCs w:val="28"/>
        </w:rPr>
        <w:t xml:space="preserve">      年     月     日                           年    月     日</w:t>
      </w:r>
    </w:p>
    <w:p>
      <w:pPr>
        <w:spacing w:line="440" w:lineRule="exact"/>
        <w:rPr>
          <w:rFonts w:hAnsi="宋体"/>
          <w:snapToGrid w:val="0"/>
          <w:color w:val="000000"/>
          <w:sz w:val="24"/>
        </w:rPr>
      </w:pPr>
    </w:p>
    <w:p>
      <w:pPr>
        <w:spacing w:line="440" w:lineRule="exact"/>
        <w:rPr>
          <w:rFonts w:hAnsi="宋体"/>
          <w:color w:val="000000"/>
          <w:spacing w:val="8"/>
          <w:sz w:val="24"/>
        </w:rPr>
      </w:pPr>
      <w:r>
        <w:rPr>
          <w:rFonts w:hAnsi="宋体"/>
          <w:color w:val="000000"/>
          <w:spacing w:val="8"/>
          <w:sz w:val="24"/>
        </w:rPr>
        <mc:AlternateContent>
          <mc:Choice Requires="wps">
            <w:drawing>
              <wp:anchor distT="0" distB="0" distL="114300" distR="114300" simplePos="0" relativeHeight="251661312" behindDoc="0" locked="0" layoutInCell="1" allowOverlap="1">
                <wp:simplePos x="0" y="0"/>
                <wp:positionH relativeFrom="column">
                  <wp:posOffset>3217545</wp:posOffset>
                </wp:positionH>
                <wp:positionV relativeFrom="paragraph">
                  <wp:posOffset>172720</wp:posOffset>
                </wp:positionV>
                <wp:extent cx="2628900" cy="1287780"/>
                <wp:effectExtent l="0" t="0" r="19050" b="26670"/>
                <wp:wrapNone/>
                <wp:docPr id="2" name="矩形 4"/>
                <wp:cNvGraphicFramePr/>
                <a:graphic xmlns:a="http://schemas.openxmlformats.org/drawingml/2006/main">
                  <a:graphicData uri="http://schemas.microsoft.com/office/word/2010/wordprocessingShape">
                    <wps:wsp>
                      <wps:cNvSpPr>
                        <a:spLocks noChangeArrowheads="1"/>
                      </wps:cNvSpPr>
                      <wps:spPr bwMode="auto">
                        <a:xfrm>
                          <a:off x="0" y="0"/>
                          <a:ext cx="2628900" cy="1287780"/>
                        </a:xfrm>
                        <a:prstGeom prst="rect">
                          <a:avLst/>
                        </a:prstGeom>
                        <a:solidFill>
                          <a:srgbClr val="FFFFFF"/>
                        </a:solidFill>
                        <a:ln w="9525">
                          <a:solidFill>
                            <a:srgbClr val="000000"/>
                          </a:solidFill>
                          <a:miter lim="800000"/>
                        </a:ln>
                        <a:effectLst/>
                      </wps:spPr>
                      <wps:txbx>
                        <w:txbxContent>
                          <w:p>
                            <w:pPr>
                              <w:jc w:val="center"/>
                            </w:pPr>
                            <w:r>
                              <w:rPr>
                                <w:rFonts w:hint="eastAsia"/>
                              </w:rPr>
                              <w:t>被授权人身份证复印件（正面）</w:t>
                            </w:r>
                          </w:p>
                        </w:txbxContent>
                      </wps:txbx>
                      <wps:bodyPr rot="0" vert="horz" wrap="square" lIns="91440" tIns="45720" rIns="91440" bIns="45720" anchor="t" anchorCtr="0" upright="1">
                        <a:noAutofit/>
                      </wps:bodyPr>
                    </wps:wsp>
                  </a:graphicData>
                </a:graphic>
              </wp:anchor>
            </w:drawing>
          </mc:Choice>
          <mc:Fallback>
            <w:pict>
              <v:rect id="矩形 4" o:spid="_x0000_s1026" o:spt="1" style="position:absolute;left:0pt;margin-left:253.35pt;margin-top:13.6pt;height:101.4pt;width:207pt;z-index:251661312;mso-width-relative:page;mso-height-relative:page;" fillcolor="#FFFFFF" filled="t" stroked="t" coordsize="21600,21600" o:gfxdata="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4xxE3XAAAACgEAAA8AAAAAAAAAAQAgAAAAIgAAAGRy&#10;cy9kb3ducmV2LnhtbFBLAQIUABQAAAAIAIdO4kD3/tTLPwIAAIkEAAAOAAAAAAAAAAEAIAAAACYB&#10;AABkcnMvZTJvRG9jLnhtbFBLBQYAAAAABgAGAFkBAADXBQAAAAA=&#10;">
                <v:fill on="t" focussize="0,0"/>
                <v:stroke color="#000000" miterlimit="8" joinstyle="miter"/>
                <v:imagedata o:title=""/>
                <o:lock v:ext="edit" aspectratio="f"/>
                <v:textbox>
                  <w:txbxContent>
                    <w:p>
                      <w:pPr>
                        <w:jc w:val="center"/>
                      </w:pPr>
                      <w:r>
                        <w:rPr>
                          <w:rFonts w:hint="eastAsia"/>
                        </w:rPr>
                        <w:t>被授权人身份证复印件（正面）</w:t>
                      </w:r>
                    </w:p>
                  </w:txbxContent>
                </v:textbox>
              </v:rect>
            </w:pict>
          </mc:Fallback>
        </mc:AlternateContent>
      </w:r>
      <w:r>
        <w:rPr>
          <w:rFonts w:hAnsi="宋体"/>
          <w:color w:val="000000"/>
          <w:spacing w:val="8"/>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201295</wp:posOffset>
                </wp:positionV>
                <wp:extent cx="2628900" cy="1287780"/>
                <wp:effectExtent l="0" t="0" r="19050" b="266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628900" cy="1287780"/>
                        </a:xfrm>
                        <a:prstGeom prst="rect">
                          <a:avLst/>
                        </a:prstGeom>
                        <a:solidFill>
                          <a:srgbClr val="FFFFFF"/>
                        </a:solidFill>
                        <a:ln w="9525">
                          <a:solidFill>
                            <a:srgbClr val="000000"/>
                          </a:solidFill>
                          <a:miter lim="800000"/>
                        </a:ln>
                        <a:effectLst/>
                      </wps:spPr>
                      <wps:txbx>
                        <w:txbxContent>
                          <w:p>
                            <w:pPr>
                              <w:jc w:val="center"/>
                            </w:pPr>
                            <w:r>
                              <w:rPr>
                                <w:rFonts w:hint="eastAsia"/>
                              </w:rPr>
                              <w:t>法定代表人身份证复印件（正面）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pt;margin-top:15.85pt;height:101.4pt;width:207pt;z-index:251659264;mso-width-relative:page;mso-height-relative:page;" fillcolor="#FFFFFF" filled="t" stroked="t" coordsize="21600,21600" o:gfxdata="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MThyPWAAAACAEAAA8AAAAAAAAAAQAgAAAAIgAAAGRy&#10;cy9kb3ducmV2LnhtbFBLAQIUABQAAAAIAIdO4kD+pnArQAIAAIkEAAAOAAAAAAAAAAEAIAAAACUB&#10;AABkcnMvZTJvRG9jLnhtbFBLBQYAAAAABgAGAFkBAADXBQAAAAA=&#10;">
                <v:fill on="t" focussize="0,0"/>
                <v:stroke color="#000000" miterlimit="8" joinstyle="miter"/>
                <v:imagedata o:title=""/>
                <o:lock v:ext="edit" aspectratio="f"/>
                <v:textbox>
                  <w:txbxContent>
                    <w:p>
                      <w:pPr>
                        <w:jc w:val="center"/>
                      </w:pPr>
                      <w:r>
                        <w:rPr>
                          <w:rFonts w:hint="eastAsia"/>
                        </w:rPr>
                        <w:t>法定代表人身份证复印件（正面）</w:t>
                      </w:r>
                    </w:p>
                  </w:txbxContent>
                </v:textbox>
              </v:rect>
            </w:pict>
          </mc:Fallback>
        </mc:AlternateContent>
      </w:r>
    </w:p>
    <w:p>
      <w:pPr>
        <w:spacing w:line="440" w:lineRule="exact"/>
        <w:rPr>
          <w:rFonts w:hAnsi="宋体"/>
          <w:color w:val="000000"/>
          <w:spacing w:val="8"/>
          <w:sz w:val="24"/>
        </w:rPr>
      </w:pPr>
    </w:p>
    <w:p>
      <w:pPr>
        <w:spacing w:line="440" w:lineRule="exact"/>
        <w:rPr>
          <w:rFonts w:hAnsi="宋体"/>
          <w:color w:val="000000"/>
          <w:spacing w:val="8"/>
          <w:sz w:val="24"/>
        </w:rPr>
      </w:pPr>
    </w:p>
    <w:p>
      <w:pPr>
        <w:spacing w:line="440" w:lineRule="exact"/>
        <w:rPr>
          <w:rFonts w:hAnsi="宋体"/>
          <w:snapToGrid w:val="0"/>
          <w:color w:val="000000"/>
          <w:sz w:val="24"/>
        </w:rPr>
      </w:pPr>
    </w:p>
    <w:p>
      <w:pPr>
        <w:spacing w:line="480" w:lineRule="auto"/>
        <w:ind w:firstLine="480" w:firstLineChars="200"/>
        <w:rPr>
          <w:rFonts w:ascii="宋体" w:hAnsi="宋体"/>
          <w:color w:val="000000"/>
          <w:sz w:val="24"/>
          <w:szCs w:val="21"/>
        </w:rPr>
      </w:pPr>
    </w:p>
    <w:p>
      <w:pPr>
        <w:pStyle w:val="12"/>
        <w:tabs>
          <w:tab w:val="left" w:pos="6300"/>
        </w:tabs>
        <w:spacing w:line="500" w:lineRule="exact"/>
        <w:rPr>
          <w:rFonts w:hint="default" w:ascii="宋体"/>
          <w:color w:val="000000"/>
          <w:sz w:val="21"/>
          <w:szCs w:val="21"/>
        </w:rPr>
      </w:pPr>
      <w:r>
        <w:rPr>
          <w:color w:val="000000"/>
          <w:spacing w:val="8"/>
          <w:sz w:val="24"/>
        </w:rPr>
        <mc:AlternateContent>
          <mc:Choice Requires="wps">
            <w:drawing>
              <wp:anchor distT="0" distB="0" distL="114300" distR="114300" simplePos="0" relativeHeight="251662336" behindDoc="0" locked="0" layoutInCell="1" allowOverlap="1">
                <wp:simplePos x="0" y="0"/>
                <wp:positionH relativeFrom="column">
                  <wp:posOffset>3208020</wp:posOffset>
                </wp:positionH>
                <wp:positionV relativeFrom="paragraph">
                  <wp:posOffset>38100</wp:posOffset>
                </wp:positionV>
                <wp:extent cx="2628900" cy="1287780"/>
                <wp:effectExtent l="0" t="0" r="19050" b="26670"/>
                <wp:wrapNone/>
                <wp:docPr id="4" name="矩形 3"/>
                <wp:cNvGraphicFramePr/>
                <a:graphic xmlns:a="http://schemas.openxmlformats.org/drawingml/2006/main">
                  <a:graphicData uri="http://schemas.microsoft.com/office/word/2010/wordprocessingShape">
                    <wps:wsp>
                      <wps:cNvSpPr>
                        <a:spLocks noChangeArrowheads="1"/>
                      </wps:cNvSpPr>
                      <wps:spPr bwMode="auto">
                        <a:xfrm>
                          <a:off x="0" y="0"/>
                          <a:ext cx="2628900" cy="1287780"/>
                        </a:xfrm>
                        <a:prstGeom prst="rect">
                          <a:avLst/>
                        </a:prstGeom>
                        <a:solidFill>
                          <a:srgbClr val="FFFFFF"/>
                        </a:solidFill>
                        <a:ln w="9525">
                          <a:solidFill>
                            <a:srgbClr val="000000"/>
                          </a:solidFill>
                          <a:miter lim="800000"/>
                        </a:ln>
                        <a:effectLst/>
                      </wps:spPr>
                      <wps:txbx>
                        <w:txbxContent>
                          <w:p>
                            <w:pPr>
                              <w:jc w:val="center"/>
                            </w:pPr>
                            <w:r>
                              <w:rPr>
                                <w:rFonts w:hint="eastAsia"/>
                              </w:rPr>
                              <w:t>被授权人身份证复印件（背面）</w:t>
                            </w:r>
                          </w:p>
                        </w:txbxContent>
                      </wps:txbx>
                      <wps:bodyPr rot="0" vert="horz" wrap="square" lIns="91440" tIns="45720" rIns="91440" bIns="45720" anchor="t" anchorCtr="0" upright="1">
                        <a:noAutofit/>
                      </wps:bodyPr>
                    </wps:wsp>
                  </a:graphicData>
                </a:graphic>
              </wp:anchor>
            </w:drawing>
          </mc:Choice>
          <mc:Fallback>
            <w:pict>
              <v:rect id="矩形 3" o:spid="_x0000_s1026" o:spt="1" style="position:absolute;left:0pt;margin-left:252.6pt;margin-top:3pt;height:101.4pt;width:207pt;z-index:251662336;mso-width-relative:page;mso-height-relative:page;" fillcolor="#FFFFFF" filled="t" stroked="t" coordsize="21600,21600" o:gfxdata="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BkRAbWAAAACQEAAA8AAAAAAAAAAQAgAAAAIgAAAGRy&#10;cy9kb3ducmV2LnhtbFBLAQIUABQAAAAIAIdO4kDHN/O1QAIAAIkEAAAOAAAAAAAAAAEAIAAAACUB&#10;AABkcnMvZTJvRG9jLnhtbFBLBQYAAAAABgAGAFkBAADXBQAAAAA=&#10;">
                <v:fill on="t" focussize="0,0"/>
                <v:stroke color="#000000" miterlimit="8" joinstyle="miter"/>
                <v:imagedata o:title=""/>
                <o:lock v:ext="edit" aspectratio="f"/>
                <v:textbox>
                  <w:txbxContent>
                    <w:p>
                      <w:pPr>
                        <w:jc w:val="center"/>
                      </w:pPr>
                      <w:r>
                        <w:rPr>
                          <w:rFonts w:hint="eastAsia"/>
                        </w:rPr>
                        <w:t>被授权人身份证复印件（背面）</w:t>
                      </w:r>
                    </w:p>
                  </w:txbxContent>
                </v:textbox>
              </v:rect>
            </w:pict>
          </mc:Fallback>
        </mc:AlternateContent>
      </w:r>
      <w:r>
        <w:rPr>
          <w:color w:val="000000"/>
          <w:spacing w:val="8"/>
          <w:sz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38100</wp:posOffset>
                </wp:positionV>
                <wp:extent cx="2628900" cy="1287780"/>
                <wp:effectExtent l="0" t="0" r="19050" b="26670"/>
                <wp:wrapNone/>
                <wp:docPr id="1" name="矩形 3"/>
                <wp:cNvGraphicFramePr/>
                <a:graphic xmlns:a="http://schemas.openxmlformats.org/drawingml/2006/main">
                  <a:graphicData uri="http://schemas.microsoft.com/office/word/2010/wordprocessingShape">
                    <wps:wsp>
                      <wps:cNvSpPr>
                        <a:spLocks noChangeArrowheads="1"/>
                      </wps:cNvSpPr>
                      <wps:spPr bwMode="auto">
                        <a:xfrm>
                          <a:off x="0" y="0"/>
                          <a:ext cx="2628900" cy="1287780"/>
                        </a:xfrm>
                        <a:prstGeom prst="rect">
                          <a:avLst/>
                        </a:prstGeom>
                        <a:solidFill>
                          <a:srgbClr val="FFFFFF"/>
                        </a:solidFill>
                        <a:ln w="9525">
                          <a:solidFill>
                            <a:srgbClr val="000000"/>
                          </a:solidFill>
                          <a:miter lim="800000"/>
                        </a:ln>
                        <a:effectLst/>
                      </wps:spPr>
                      <wps:txbx>
                        <w:txbxContent>
                          <w:p>
                            <w:pPr>
                              <w:jc w:val="center"/>
                            </w:pPr>
                            <w:r>
                              <w:rPr>
                                <w:rFonts w:hint="eastAsia"/>
                              </w:rPr>
                              <w:t>法定代表人身份证复印件（背面）</w:t>
                            </w:r>
                          </w:p>
                        </w:txbxContent>
                      </wps:txbx>
                      <wps:bodyPr rot="0" vert="horz" wrap="square" lIns="91440" tIns="45720" rIns="91440" bIns="45720" anchor="t" anchorCtr="0" upright="1">
                        <a:noAutofit/>
                      </wps:bodyPr>
                    </wps:wsp>
                  </a:graphicData>
                </a:graphic>
              </wp:anchor>
            </w:drawing>
          </mc:Choice>
          <mc:Fallback>
            <w:pict>
              <v:rect id="矩形 3" o:spid="_x0000_s1026" o:spt="1" style="position:absolute;left:0pt;margin-left:3.75pt;margin-top:3pt;height:101.4pt;width:207pt;z-index:251660288;mso-width-relative:page;mso-height-relative:page;" fillcolor="#FFFFFF" filled="t" stroked="t" coordsize="21600,21600" o:gfxdata="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AK2oNUAAAAHAQAADwAAAAAAAAABACAAAAAiAAAAZHJz&#10;L2Rvd25yZXYueG1sUEsBAhQAFAAAAAgAh07iQFgdHE9AAgAAiQQAAA4AAAAAAAAAAQAgAAAAJAEA&#10;AGRycy9lMm9Eb2MueG1sUEsFBgAAAAAGAAYAWQEAANYFAAAAAA==&#10;">
                <v:fill on="t" focussize="0,0"/>
                <v:stroke color="#000000" miterlimit="8" joinstyle="miter"/>
                <v:imagedata o:title=""/>
                <o:lock v:ext="edit" aspectratio="f"/>
                <v:textbox>
                  <w:txbxContent>
                    <w:p>
                      <w:pPr>
                        <w:jc w:val="center"/>
                      </w:pPr>
                      <w:r>
                        <w:rPr>
                          <w:rFonts w:hint="eastAsia"/>
                        </w:rPr>
                        <w:t>法定代表人身份证复印件（背面）</w:t>
                      </w:r>
                    </w:p>
                  </w:txbxContent>
                </v:textbox>
              </v:rect>
            </w:pict>
          </mc:Fallback>
        </mc:AlternateContent>
      </w:r>
    </w:p>
    <w:p>
      <w:pPr>
        <w:pStyle w:val="5"/>
        <w:spacing w:before="240" w:beforeLines="100"/>
        <w:rPr>
          <w:color w:val="000000"/>
          <w:sz w:val="28"/>
        </w:rPr>
      </w:pPr>
      <w:r>
        <w:rPr>
          <w:color w:val="000000"/>
        </w:rPr>
        <w:br w:type="column"/>
      </w:r>
      <w:r>
        <w:rPr>
          <w:rFonts w:hint="eastAsia"/>
          <w:color w:val="000000"/>
        </w:rPr>
        <w:t xml:space="preserve">五、 </w:t>
      </w:r>
      <w:r>
        <w:rPr>
          <w:rFonts w:hint="eastAsia"/>
          <w:color w:val="000000"/>
          <w:sz w:val="28"/>
        </w:rPr>
        <w:t>技术/商务偏离表</w:t>
      </w:r>
    </w:p>
    <w:p>
      <w:pPr>
        <w:spacing w:line="360" w:lineRule="auto"/>
        <w:jc w:val="center"/>
        <w:rPr>
          <w:rFonts w:ascii="宋体" w:hAnsi="宋体"/>
          <w:color w:val="000000"/>
          <w:sz w:val="30"/>
          <w:szCs w:val="30"/>
        </w:rPr>
      </w:pPr>
      <w:r>
        <w:rPr>
          <w:rFonts w:hint="eastAsia"/>
          <w:b/>
          <w:bCs/>
          <w:color w:val="000000"/>
          <w:sz w:val="30"/>
          <w:szCs w:val="30"/>
        </w:rPr>
        <w:t>技术/商务偏离表</w:t>
      </w:r>
    </w:p>
    <w:p>
      <w:pPr>
        <w:adjustRightInd w:val="0"/>
        <w:snapToGrid w:val="0"/>
        <w:spacing w:line="300" w:lineRule="auto"/>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rPr>
        <w:t>采购项目名称： 重庆银行成都分行本部气体灭火系统采购项目</w:t>
      </w:r>
    </w:p>
    <w:tbl>
      <w:tblPr>
        <w:tblStyle w:val="22"/>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846"/>
        <w:gridCol w:w="2399"/>
        <w:gridCol w:w="100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663" w:type="dxa"/>
            <w:vAlign w:val="center"/>
          </w:tcPr>
          <w:p>
            <w:pPr>
              <w:snapToGrid w:val="0"/>
              <w:jc w:val="center"/>
              <w:rPr>
                <w:rFonts w:ascii="方正仿宋_GBK" w:hAnsi="宋体" w:eastAsia="方正仿宋_GBK"/>
                <w:b/>
                <w:color w:val="000000"/>
                <w:sz w:val="24"/>
              </w:rPr>
            </w:pPr>
            <w:r>
              <w:rPr>
                <w:rFonts w:hint="eastAsia" w:ascii="方正仿宋_GBK" w:hAnsi="宋体" w:eastAsia="方正仿宋_GBK"/>
                <w:b/>
                <w:color w:val="000000"/>
                <w:sz w:val="24"/>
              </w:rPr>
              <w:t>序号</w:t>
            </w:r>
          </w:p>
        </w:tc>
        <w:tc>
          <w:tcPr>
            <w:tcW w:w="5245" w:type="dxa"/>
            <w:gridSpan w:val="2"/>
            <w:vAlign w:val="center"/>
          </w:tcPr>
          <w:p>
            <w:pPr>
              <w:snapToGrid w:val="0"/>
              <w:jc w:val="center"/>
              <w:rPr>
                <w:rFonts w:ascii="方正仿宋_GBK" w:hAnsi="宋体" w:eastAsia="方正仿宋_GBK"/>
                <w:b/>
                <w:color w:val="000000"/>
                <w:sz w:val="24"/>
              </w:rPr>
            </w:pPr>
            <w:r>
              <w:rPr>
                <w:rFonts w:hint="eastAsia" w:ascii="方正仿宋_GBK" w:hAnsi="宋体" w:eastAsia="方正仿宋_GBK"/>
                <w:b/>
                <w:color w:val="000000"/>
                <w:sz w:val="24"/>
              </w:rPr>
              <w:t>采购项目技术/商务要求</w:t>
            </w:r>
          </w:p>
        </w:tc>
        <w:tc>
          <w:tcPr>
            <w:tcW w:w="1003" w:type="dxa"/>
            <w:vAlign w:val="center"/>
          </w:tcPr>
          <w:p>
            <w:pPr>
              <w:snapToGrid w:val="0"/>
              <w:jc w:val="center"/>
              <w:rPr>
                <w:rFonts w:ascii="方正仿宋_GBK" w:hAnsi="宋体" w:eastAsia="方正仿宋_GBK"/>
                <w:b/>
                <w:color w:val="000000"/>
                <w:sz w:val="24"/>
              </w:rPr>
            </w:pPr>
            <w:r>
              <w:rPr>
                <w:rFonts w:hint="eastAsia" w:ascii="方正仿宋_GBK" w:hAnsi="宋体" w:eastAsia="方正仿宋_GBK"/>
                <w:b/>
                <w:color w:val="000000"/>
                <w:sz w:val="24"/>
              </w:rPr>
              <w:t>偏离</w:t>
            </w:r>
          </w:p>
          <w:p>
            <w:pPr>
              <w:snapToGrid w:val="0"/>
              <w:jc w:val="center"/>
              <w:rPr>
                <w:rFonts w:ascii="方正仿宋_GBK" w:hAnsi="宋体" w:eastAsia="方正仿宋_GBK"/>
                <w:b/>
                <w:color w:val="000000"/>
                <w:sz w:val="24"/>
              </w:rPr>
            </w:pPr>
            <w:r>
              <w:rPr>
                <w:rFonts w:hint="eastAsia" w:ascii="方正仿宋_GBK" w:hAnsi="宋体" w:eastAsia="方正仿宋_GBK"/>
                <w:b/>
                <w:color w:val="000000"/>
                <w:sz w:val="24"/>
              </w:rPr>
              <w:t>情况</w:t>
            </w:r>
          </w:p>
        </w:tc>
        <w:tc>
          <w:tcPr>
            <w:tcW w:w="2268" w:type="dxa"/>
            <w:vAlign w:val="center"/>
          </w:tcPr>
          <w:p>
            <w:pPr>
              <w:snapToGrid w:val="0"/>
              <w:jc w:val="center"/>
              <w:rPr>
                <w:rFonts w:ascii="方正仿宋_GBK" w:hAnsi="宋体" w:eastAsia="方正仿宋_GBK"/>
                <w:b/>
                <w:color w:val="000000"/>
                <w:sz w:val="24"/>
              </w:rPr>
            </w:pPr>
            <w:r>
              <w:rPr>
                <w:rFonts w:hint="eastAsia" w:ascii="方正仿宋_GBK" w:hAnsi="宋体" w:eastAsia="方正仿宋_GBK"/>
                <w:b/>
                <w:color w:val="000000"/>
                <w:sz w:val="24"/>
              </w:rPr>
              <w:t>如有偏离，请在此</w:t>
            </w:r>
          </w:p>
          <w:p>
            <w:pPr>
              <w:snapToGrid w:val="0"/>
              <w:jc w:val="center"/>
              <w:rPr>
                <w:rFonts w:ascii="方正仿宋_GBK" w:hAnsi="宋体" w:eastAsia="方正仿宋_GBK"/>
                <w:b/>
                <w:color w:val="000000"/>
                <w:sz w:val="24"/>
              </w:rPr>
            </w:pPr>
            <w:r>
              <w:rPr>
                <w:rFonts w:hint="eastAsia" w:ascii="方正仿宋_GBK" w:hAnsi="宋体" w:eastAsia="方正仿宋_GBK"/>
                <w:b/>
                <w:color w:val="000000"/>
                <w:sz w:val="24"/>
              </w:rPr>
              <w:t>备注偏离内容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1</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供应商资质条件、能力和信誉要求</w:t>
            </w:r>
          </w:p>
        </w:tc>
        <w:tc>
          <w:tcPr>
            <w:tcW w:w="2399" w:type="dxa"/>
            <w:vAlign w:val="center"/>
          </w:tcPr>
          <w:p>
            <w:pPr>
              <w:snapToGrid w:val="0"/>
              <w:rPr>
                <w:rFonts w:ascii="方正仿宋_GBK" w:hAnsi="宋体"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2</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货物规格型号及数量</w:t>
            </w:r>
          </w:p>
        </w:tc>
        <w:tc>
          <w:tcPr>
            <w:tcW w:w="2399" w:type="dxa"/>
            <w:vAlign w:val="center"/>
          </w:tcPr>
          <w:p>
            <w:pPr>
              <w:snapToGrid w:val="0"/>
              <w:rPr>
                <w:rFonts w:ascii="方正仿宋_GBK" w:hAnsi="宋体"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3</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供货时间</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4</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交货/安装地点</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5</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报价要求</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6</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售后服务要求</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7</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质量及验收要求</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8</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付款方式</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9</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详细的货物技术标准要求</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10</w:t>
            </w:r>
          </w:p>
        </w:tc>
        <w:tc>
          <w:tcPr>
            <w:tcW w:w="2846" w:type="dxa"/>
            <w:vAlign w:val="center"/>
          </w:tcPr>
          <w:p>
            <w:pPr>
              <w:snapToGrid w:val="0"/>
              <w:rPr>
                <w:rFonts w:ascii="方正仿宋_GBK" w:hAnsi="宋体" w:eastAsia="方正仿宋_GBK"/>
                <w:sz w:val="24"/>
              </w:rPr>
            </w:pPr>
            <w:r>
              <w:rPr>
                <w:rFonts w:hint="eastAsia" w:ascii="方正仿宋_GBK" w:hAnsi="宋体" w:eastAsia="方正仿宋_GBK"/>
                <w:sz w:val="24"/>
              </w:rPr>
              <w:t>其他要求</w:t>
            </w:r>
          </w:p>
        </w:tc>
        <w:tc>
          <w:tcPr>
            <w:tcW w:w="2399" w:type="dxa"/>
            <w:vAlign w:val="center"/>
          </w:tcPr>
          <w:p>
            <w:pPr>
              <w:snapToGrid w:val="0"/>
              <w:rPr>
                <w:rFonts w:ascii="方正仿宋_GBK" w:eastAsia="方正仿宋_GBK"/>
                <w:color w:val="000000"/>
                <w:sz w:val="24"/>
              </w:rPr>
            </w:pPr>
            <w:r>
              <w:rPr>
                <w:rFonts w:hint="eastAsia" w:ascii="方正仿宋_GBK" w:eastAsia="方正仿宋_GBK"/>
                <w:color w:val="000000"/>
                <w:sz w:val="24"/>
              </w:rPr>
              <w:t>按谈判文件要求执行</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63" w:type="dxa"/>
            <w:vAlign w:val="center"/>
          </w:tcPr>
          <w:p>
            <w:pPr>
              <w:snapToGrid w:val="0"/>
              <w:jc w:val="center"/>
              <w:rPr>
                <w:rFonts w:ascii="方正仿宋_GBK" w:hAnsi="宋体" w:eastAsia="方正仿宋_GBK"/>
                <w:color w:val="000000"/>
                <w:sz w:val="24"/>
              </w:rPr>
            </w:pPr>
            <w:r>
              <w:rPr>
                <w:rFonts w:hint="eastAsia" w:ascii="方正仿宋_GBK" w:hAnsi="宋体" w:eastAsia="方正仿宋_GBK"/>
                <w:color w:val="000000"/>
                <w:sz w:val="24"/>
              </w:rPr>
              <w:t>11</w:t>
            </w:r>
          </w:p>
        </w:tc>
        <w:tc>
          <w:tcPr>
            <w:tcW w:w="2846" w:type="dxa"/>
            <w:vAlign w:val="center"/>
          </w:tcPr>
          <w:p>
            <w:pPr>
              <w:snapToGrid w:val="0"/>
              <w:rPr>
                <w:rFonts w:ascii="方正仿宋_GBK" w:eastAsia="方正仿宋_GBK"/>
                <w:color w:val="000000"/>
                <w:sz w:val="24"/>
              </w:rPr>
            </w:pPr>
            <w:r>
              <w:rPr>
                <w:rFonts w:hint="eastAsia" w:ascii="方正仿宋_GBK" w:hAnsi="宋体" w:eastAsia="方正仿宋_GBK"/>
                <w:color w:val="000000"/>
                <w:sz w:val="24"/>
              </w:rPr>
              <w:t>……</w:t>
            </w:r>
          </w:p>
        </w:tc>
        <w:tc>
          <w:tcPr>
            <w:tcW w:w="2399" w:type="dxa"/>
            <w:vAlign w:val="center"/>
          </w:tcPr>
          <w:p>
            <w:pPr>
              <w:snapToGrid w:val="0"/>
              <w:rPr>
                <w:rFonts w:ascii="方正仿宋_GBK" w:eastAsia="方正仿宋_GBK"/>
                <w:color w:val="000000"/>
                <w:sz w:val="24"/>
              </w:rPr>
            </w:pPr>
            <w:r>
              <w:rPr>
                <w:rFonts w:hint="eastAsia" w:ascii="方正仿宋_GBK" w:hAnsi="宋体" w:eastAsia="方正仿宋_GBK"/>
                <w:color w:val="000000"/>
                <w:sz w:val="24"/>
              </w:rPr>
              <w:t>……</w:t>
            </w:r>
          </w:p>
        </w:tc>
        <w:tc>
          <w:tcPr>
            <w:tcW w:w="1003" w:type="dxa"/>
            <w:vAlign w:val="center"/>
          </w:tcPr>
          <w:p>
            <w:pPr>
              <w:snapToGrid w:val="0"/>
              <w:ind w:firstLine="480" w:firstLineChars="200"/>
              <w:rPr>
                <w:rFonts w:ascii="方正仿宋_GBK" w:hAnsi="宋体" w:eastAsia="方正仿宋_GBK"/>
                <w:color w:val="000000"/>
                <w:sz w:val="24"/>
              </w:rPr>
            </w:pPr>
          </w:p>
        </w:tc>
        <w:tc>
          <w:tcPr>
            <w:tcW w:w="2268" w:type="dxa"/>
            <w:vAlign w:val="center"/>
          </w:tcPr>
          <w:p>
            <w:pPr>
              <w:snapToGrid w:val="0"/>
              <w:ind w:firstLine="480" w:firstLineChars="200"/>
              <w:rPr>
                <w:rFonts w:ascii="方正仿宋_GBK" w:hAnsi="宋体" w:eastAsia="方正仿宋_GBK"/>
                <w:color w:val="000000"/>
                <w:sz w:val="24"/>
              </w:rPr>
            </w:pPr>
          </w:p>
        </w:tc>
      </w:tr>
    </w:tbl>
    <w:p>
      <w:pPr>
        <w:ind w:left="-142" w:leftChars="-68" w:hanging="1"/>
        <w:rPr>
          <w:rFonts w:ascii="方正仿宋_GBK" w:hAnsi="宋体" w:eastAsia="方正仿宋_GBK"/>
          <w:color w:val="000000"/>
          <w:sz w:val="24"/>
        </w:rPr>
      </w:pPr>
    </w:p>
    <w:p>
      <w:pPr>
        <w:ind w:left="850" w:hanging="849" w:hangingChars="354"/>
        <w:rPr>
          <w:rFonts w:ascii="方正仿宋_GBK" w:hAnsi="宋体" w:eastAsia="方正仿宋_GBK"/>
          <w:color w:val="000000"/>
          <w:sz w:val="24"/>
        </w:rPr>
      </w:pPr>
      <w:r>
        <w:rPr>
          <w:rFonts w:hint="eastAsia" w:ascii="方正仿宋_GBK" w:hAnsi="宋体" w:eastAsia="方正仿宋_GBK"/>
          <w:color w:val="000000"/>
          <w:sz w:val="24"/>
        </w:rPr>
        <w:t>注</w:t>
      </w:r>
      <w:r>
        <w:rPr>
          <w:rFonts w:hint="eastAsia" w:ascii="方正仿宋_GBK" w:hAnsi="宋体" w:eastAsia="方正仿宋_GBK"/>
          <w:color w:val="000000"/>
          <w:spacing w:val="-20"/>
          <w:sz w:val="24"/>
        </w:rPr>
        <w:t>：</w:t>
      </w:r>
      <w:r>
        <w:rPr>
          <w:rFonts w:hint="eastAsia" w:ascii="方正仿宋_GBK" w:hAnsi="宋体" w:eastAsia="方正仿宋_GBK"/>
          <w:color w:val="000000"/>
          <w:sz w:val="24"/>
        </w:rPr>
        <w:t>1、请各供应商仔细阅读采购文件相关条款，供应商对采购文件要求进行响应后，采购人在后期合同签订和项目实施过程中将按照采购文件要求执行，不再做出调整。</w:t>
      </w:r>
    </w:p>
    <w:p>
      <w:pPr>
        <w:ind w:left="424" w:leftChars="202"/>
        <w:rPr>
          <w:rFonts w:ascii="方正仿宋_GBK" w:hAnsi="宋体" w:eastAsia="方正仿宋_GBK"/>
          <w:color w:val="000000"/>
          <w:sz w:val="24"/>
        </w:rPr>
      </w:pPr>
      <w:r>
        <w:rPr>
          <w:rFonts w:hint="eastAsia" w:ascii="方正仿宋_GBK" w:hAnsi="宋体" w:eastAsia="方正仿宋_GBK"/>
          <w:color w:val="000000"/>
          <w:sz w:val="24"/>
        </w:rPr>
        <w:t>2、根据响应文件情况在“偏离情况”项填写“正偏离”或“负偏离”或“无偏离”。</w:t>
      </w:r>
    </w:p>
    <w:p>
      <w:pPr>
        <w:ind w:left="424" w:leftChars="202"/>
        <w:rPr>
          <w:rFonts w:ascii="方正仿宋_GBK" w:hAnsi="宋体" w:eastAsia="方正仿宋_GBK"/>
          <w:color w:val="000000"/>
          <w:sz w:val="24"/>
        </w:rPr>
      </w:pPr>
      <w:r>
        <w:rPr>
          <w:rFonts w:hint="eastAsia" w:ascii="方正仿宋_GBK" w:hAnsi="宋体" w:eastAsia="方正仿宋_GBK"/>
          <w:color w:val="000000"/>
          <w:sz w:val="24"/>
        </w:rPr>
        <w:t>3、该表可扩展。</w:t>
      </w:r>
    </w:p>
    <w:p>
      <w:pPr>
        <w:ind w:firstLine="840" w:firstLineChars="350"/>
        <w:rPr>
          <w:rFonts w:ascii="方正仿宋_GBK" w:hAnsi="宋体" w:eastAsia="方正仿宋_GBK"/>
          <w:color w:val="000000"/>
          <w:sz w:val="24"/>
        </w:rPr>
      </w:pPr>
    </w:p>
    <w:p>
      <w:pPr>
        <w:pStyle w:val="29"/>
      </w:pPr>
    </w:p>
    <w:p>
      <w:pPr>
        <w:spacing w:line="360" w:lineRule="auto"/>
        <w:ind w:firstLine="964" w:firstLineChars="400"/>
        <w:rPr>
          <w:rFonts w:ascii="方正仿宋_GBK" w:eastAsia="方正仿宋_GBK"/>
          <w:b/>
          <w:color w:val="000000"/>
          <w:kern w:val="0"/>
          <w:sz w:val="24"/>
        </w:rPr>
      </w:pPr>
      <w:r>
        <w:rPr>
          <w:rFonts w:hint="eastAsia" w:ascii="方正仿宋_GBK" w:eastAsia="方正仿宋_GBK"/>
          <w:b/>
          <w:color w:val="000000"/>
          <w:kern w:val="0"/>
          <w:sz w:val="24"/>
        </w:rPr>
        <w:t>供应商（盖章）：</w:t>
      </w:r>
    </w:p>
    <w:p>
      <w:pPr>
        <w:pStyle w:val="29"/>
      </w:pPr>
    </w:p>
    <w:p>
      <w:pPr>
        <w:spacing w:line="360" w:lineRule="auto"/>
        <w:ind w:firstLine="964" w:firstLineChars="400"/>
        <w:rPr>
          <w:rFonts w:ascii="方正仿宋_GBK" w:eastAsia="方正仿宋_GBK"/>
          <w:b/>
          <w:color w:val="000000"/>
          <w:kern w:val="0"/>
          <w:sz w:val="24"/>
        </w:rPr>
      </w:pPr>
      <w:r>
        <w:rPr>
          <w:rFonts w:hint="eastAsia" w:ascii="方正仿宋_GBK" w:eastAsia="方正仿宋_GBK"/>
          <w:b/>
          <w:color w:val="000000"/>
          <w:kern w:val="0"/>
          <w:sz w:val="24"/>
        </w:rPr>
        <w:t xml:space="preserve">法人代表或授权代理人：（盖章或签字）                    </w:t>
      </w:r>
    </w:p>
    <w:p>
      <w:pPr>
        <w:wordWrap w:val="0"/>
        <w:spacing w:line="360" w:lineRule="auto"/>
        <w:ind w:firstLine="964" w:firstLineChars="400"/>
        <w:jc w:val="right"/>
        <w:rPr>
          <w:rFonts w:ascii="方正仿宋_GBK" w:hAnsi="宋体" w:eastAsia="方正仿宋_GBK"/>
          <w:color w:val="000000"/>
          <w:sz w:val="24"/>
        </w:rPr>
      </w:pPr>
      <w:r>
        <w:rPr>
          <w:rFonts w:hint="eastAsia" w:ascii="方正仿宋_GBK" w:eastAsia="方正仿宋_GBK"/>
          <w:b/>
          <w:color w:val="000000"/>
          <w:kern w:val="0"/>
          <w:sz w:val="24"/>
        </w:rPr>
        <w:t xml:space="preserve">     年   月   日</w:t>
      </w:r>
    </w:p>
    <w:p>
      <w:pPr>
        <w:spacing w:line="360" w:lineRule="auto"/>
        <w:ind w:firstLine="420" w:firstLineChars="200"/>
        <w:rPr>
          <w:rFonts w:ascii="宋体" w:hAnsi="宋体"/>
          <w:color w:val="000000"/>
          <w:szCs w:val="21"/>
        </w:rPr>
        <w:sectPr>
          <w:endnotePr>
            <w:numFmt w:val="decimal"/>
          </w:endnotePr>
          <w:pgSz w:w="11907" w:h="16840"/>
          <w:pgMar w:top="1418" w:right="1559" w:bottom="1418" w:left="1077" w:header="964" w:footer="992" w:gutter="0"/>
          <w:cols w:space="720" w:num="1"/>
          <w:docGrid w:linePitch="380" w:charSpace="-5735"/>
        </w:sectPr>
      </w:pPr>
    </w:p>
    <w:bookmarkEnd w:id="10"/>
    <w:p>
      <w:pPr>
        <w:pStyle w:val="5"/>
        <w:spacing w:before="312" w:beforeLines="100"/>
        <w:ind w:left="420"/>
        <w:rPr>
          <w:color w:val="000000"/>
          <w:sz w:val="28"/>
        </w:rPr>
      </w:pPr>
      <w:bookmarkStart w:id="11" w:name="_Toc101179065"/>
      <w:bookmarkStart w:id="12" w:name="_Toc161727400"/>
      <w:r>
        <w:rPr>
          <w:rFonts w:hint="eastAsia"/>
          <w:color w:val="000000"/>
          <w:sz w:val="28"/>
        </w:rPr>
        <w:t>六、供应商的其他资料或承诺（如果有）</w:t>
      </w:r>
    </w:p>
    <w:p>
      <w:pPr>
        <w:pStyle w:val="5"/>
        <w:spacing w:before="312" w:beforeLines="100"/>
        <w:ind w:firstLine="413" w:firstLineChars="147"/>
        <w:rPr>
          <w:color w:val="000000"/>
          <w:sz w:val="28"/>
        </w:rPr>
      </w:pPr>
      <w:r>
        <w:rPr>
          <w:rFonts w:hint="eastAsia"/>
          <w:color w:val="000000"/>
          <w:sz w:val="28"/>
        </w:rPr>
        <w:t>七、电子文档（包含全套响应盖章资料的U盘）</w:t>
      </w:r>
    </w:p>
    <w:bookmarkEnd w:id="11"/>
    <w:bookmarkEnd w:id="12"/>
    <w:p>
      <w:pPr>
        <w:jc w:val="left"/>
        <w:rPr>
          <w:rFonts w:ascii="方正仿宋_GBK" w:hAnsi="仿宋" w:eastAsia="方正仿宋_GBK"/>
          <w:color w:val="000000"/>
          <w:sz w:val="28"/>
        </w:rPr>
      </w:pPr>
      <w:r>
        <w:rPr>
          <w:rFonts w:ascii="方正仿宋_GBK" w:hAnsi="仿宋" w:eastAsia="方正仿宋_GBK"/>
          <w:color w:val="000000"/>
          <w:sz w:val="28"/>
        </w:rPr>
        <w:t xml:space="preserve"> </w:t>
      </w:r>
    </w:p>
    <w:sectPr>
      <w:headerReference r:id="rId10"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rPr>
        <w:rStyle w:val="25"/>
      </w:rPr>
      <w:t>31</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Cs w:val="21"/>
      </w:rPr>
    </w:pPr>
    <w:r>
      <w:rPr>
        <w:rFonts w:hint="eastAsia"/>
        <w:szCs w:val="21"/>
      </w:rPr>
      <w:t>重庆银行股份有限公司成都分行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Cs w:val="24"/>
      </w:rPr>
    </w:pPr>
    <w:r>
      <w:rPr>
        <w:rFonts w:hint="eastAsia"/>
        <w:sz w:val="21"/>
        <w:szCs w:val="21"/>
      </w:rPr>
      <w:t>重庆银行股份有限公司招标文件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szCs w:val="21"/>
      </w:rPr>
    </w:pPr>
    <w:r>
      <w:rPr>
        <w:rFonts w:hint="eastAsia"/>
        <w:sz w:val="21"/>
        <w:szCs w:val="21"/>
      </w:rPr>
      <w:t>重庆银行股份有限公司公开竞争性谈判采购文件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szCs w:val="21"/>
      </w:rPr>
    </w:pPr>
    <w:r>
      <w:rPr>
        <w:rFonts w:hint="eastAsia"/>
        <w:sz w:val="21"/>
        <w:szCs w:val="21"/>
      </w:rPr>
      <w:t>重庆银行股份有限公司公开竞争性谈判文件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B4B79"/>
    <w:multiLevelType w:val="singleLevel"/>
    <w:tmpl w:val="A41B4B79"/>
    <w:lvl w:ilvl="0" w:tentative="0">
      <w:start w:val="1"/>
      <w:numFmt w:val="decimal"/>
      <w:suff w:val="nothing"/>
      <w:lvlText w:val="%1、"/>
      <w:lvlJc w:val="left"/>
    </w:lvl>
  </w:abstractNum>
  <w:abstractNum w:abstractNumId="1">
    <w:nsid w:val="B39407DB"/>
    <w:multiLevelType w:val="singleLevel"/>
    <w:tmpl w:val="B39407DB"/>
    <w:lvl w:ilvl="0" w:tentative="0">
      <w:start w:val="2"/>
      <w:numFmt w:val="chineseCounting"/>
      <w:suff w:val="nothing"/>
      <w:lvlText w:val="（%1）"/>
      <w:lvlJc w:val="left"/>
      <w:rPr>
        <w:rFonts w:hint="eastAsia"/>
      </w:rPr>
    </w:lvl>
  </w:abstractNum>
  <w:abstractNum w:abstractNumId="2">
    <w:nsid w:val="B77E205E"/>
    <w:multiLevelType w:val="singleLevel"/>
    <w:tmpl w:val="B77E205E"/>
    <w:lvl w:ilvl="0" w:tentative="0">
      <w:start w:val="1"/>
      <w:numFmt w:val="chineseCounting"/>
      <w:suff w:val="nothing"/>
      <w:lvlText w:val="（%1）"/>
      <w:lvlJc w:val="left"/>
      <w:rPr>
        <w:rFonts w:hint="eastAsia"/>
      </w:rPr>
    </w:lvl>
  </w:abstractNum>
  <w:abstractNum w:abstractNumId="3">
    <w:nsid w:val="B83A8D3D"/>
    <w:multiLevelType w:val="singleLevel"/>
    <w:tmpl w:val="B83A8D3D"/>
    <w:lvl w:ilvl="0" w:tentative="0">
      <w:start w:val="1"/>
      <w:numFmt w:val="chineseCounting"/>
      <w:suff w:val="nothing"/>
      <w:lvlText w:val="（%1）"/>
      <w:lvlJc w:val="left"/>
      <w:rPr>
        <w:rFonts w:hint="eastAsia"/>
      </w:rPr>
    </w:lvl>
  </w:abstractNum>
  <w:abstractNum w:abstractNumId="4">
    <w:nsid w:val="00000016"/>
    <w:multiLevelType w:val="multilevel"/>
    <w:tmpl w:val="00000016"/>
    <w:lvl w:ilvl="0" w:tentative="0">
      <w:start w:val="1"/>
      <w:numFmt w:val="decimal"/>
      <w:lvlText w:val="%1、"/>
      <w:lvlJc w:val="left"/>
      <w:pPr>
        <w:tabs>
          <w:tab w:val="left" w:pos="480"/>
        </w:tabs>
        <w:ind w:left="0"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3D5E9D3"/>
    <w:multiLevelType w:val="singleLevel"/>
    <w:tmpl w:val="03D5E9D3"/>
    <w:lvl w:ilvl="0" w:tentative="0">
      <w:start w:val="1"/>
      <w:numFmt w:val="decimal"/>
      <w:suff w:val="nothing"/>
      <w:lvlText w:val="%1、"/>
      <w:lvlJc w:val="left"/>
    </w:lvl>
  </w:abstractNum>
  <w:abstractNum w:abstractNumId="6">
    <w:nsid w:val="067751E4"/>
    <w:multiLevelType w:val="singleLevel"/>
    <w:tmpl w:val="067751E4"/>
    <w:lvl w:ilvl="0" w:tentative="0">
      <w:start w:val="1"/>
      <w:numFmt w:val="chineseCounting"/>
      <w:suff w:val="nothing"/>
      <w:lvlText w:val="（%1）"/>
      <w:lvlJc w:val="left"/>
      <w:rPr>
        <w:rFonts w:hint="eastAsia"/>
      </w:rPr>
    </w:lvl>
  </w:abstractNum>
  <w:abstractNum w:abstractNumId="7">
    <w:nsid w:val="13849E61"/>
    <w:multiLevelType w:val="singleLevel"/>
    <w:tmpl w:val="13849E61"/>
    <w:lvl w:ilvl="0" w:tentative="0">
      <w:start w:val="2"/>
      <w:numFmt w:val="chineseCounting"/>
      <w:suff w:val="nothing"/>
      <w:lvlText w:val="%1、"/>
      <w:lvlJc w:val="left"/>
      <w:rPr>
        <w:rFonts w:hint="eastAsia"/>
      </w:rPr>
    </w:lvl>
  </w:abstractNum>
  <w:abstractNum w:abstractNumId="8">
    <w:nsid w:val="1C80B7F9"/>
    <w:multiLevelType w:val="singleLevel"/>
    <w:tmpl w:val="1C80B7F9"/>
    <w:lvl w:ilvl="0" w:tentative="0">
      <w:start w:val="3"/>
      <w:numFmt w:val="chineseCounting"/>
      <w:suff w:val="nothing"/>
      <w:lvlText w:val="%1、"/>
      <w:lvlJc w:val="left"/>
      <w:rPr>
        <w:rFonts w:hint="eastAsia" w:ascii="黑体" w:hAnsi="黑体" w:eastAsia="黑体" w:cs="黑体"/>
        <w:sz w:val="28"/>
        <w:szCs w:val="28"/>
      </w:rPr>
    </w:lvl>
  </w:abstractNum>
  <w:abstractNum w:abstractNumId="9">
    <w:nsid w:val="51463A84"/>
    <w:multiLevelType w:val="multilevel"/>
    <w:tmpl w:val="51463A84"/>
    <w:lvl w:ilvl="0" w:tentative="0">
      <w:start w:val="1"/>
      <w:numFmt w:val="decimal"/>
      <w:lvlText w:val="1.%1"/>
      <w:lvlJc w:val="left"/>
      <w:pPr>
        <w:tabs>
          <w:tab w:val="left" w:pos="1018"/>
        </w:tabs>
        <w:ind w:left="598" w:firstLine="420"/>
      </w:pPr>
      <w:rPr>
        <w:rFonts w:hint="eastAsia"/>
      </w:rPr>
    </w:lvl>
    <w:lvl w:ilvl="1" w:tentative="0">
      <w:start w:val="1"/>
      <w:numFmt w:val="decimal"/>
      <w:lvlText w:val="1.%2"/>
      <w:lvlJc w:val="left"/>
      <w:pPr>
        <w:tabs>
          <w:tab w:val="left" w:pos="958"/>
        </w:tabs>
        <w:ind w:left="538" w:firstLine="420"/>
      </w:pPr>
      <w:rPr>
        <w:rFonts w:hint="eastAsia"/>
      </w:rPr>
    </w:lvl>
    <w:lvl w:ilvl="2" w:tentative="0">
      <w:start w:val="1"/>
      <w:numFmt w:val="decimal"/>
      <w:lvlText w:val="%3）"/>
      <w:lvlJc w:val="left"/>
      <w:pPr>
        <w:ind w:left="2098" w:hanging="720"/>
      </w:pPr>
      <w:rPr>
        <w:rFonts w:hint="default"/>
      </w:r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abstractNum w:abstractNumId="10">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68B9558"/>
    <w:multiLevelType w:val="singleLevel"/>
    <w:tmpl w:val="768B9558"/>
    <w:lvl w:ilvl="0" w:tentative="0">
      <w:start w:val="1"/>
      <w:numFmt w:val="chineseCounting"/>
      <w:suff w:val="nothing"/>
      <w:lvlText w:val="（%1）"/>
      <w:lvlJc w:val="left"/>
      <w:rPr>
        <w:rFonts w:hint="eastAsia"/>
      </w:rPr>
    </w:lvl>
  </w:abstractNum>
  <w:num w:numId="1">
    <w:abstractNumId w:val="1"/>
  </w:num>
  <w:num w:numId="2">
    <w:abstractNumId w:val="11"/>
  </w:num>
  <w:num w:numId="3">
    <w:abstractNumId w:val="8"/>
  </w:num>
  <w:num w:numId="4">
    <w:abstractNumId w:val="2"/>
  </w:num>
  <w:num w:numId="5">
    <w:abstractNumId w:val="9"/>
  </w:num>
  <w:num w:numId="6">
    <w:abstractNumId w:val="4"/>
  </w:num>
  <w:num w:numId="7">
    <w:abstractNumId w:val="7"/>
  </w:num>
  <w:num w:numId="8">
    <w:abstractNumId w:val="3"/>
  </w:num>
  <w:num w:numId="9">
    <w:abstractNumId w:val="6"/>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ZjVmZjk4NjNiYjdkYjU0YWUxMjIwYzE3MjQ3YTAifQ=="/>
  </w:docVars>
  <w:rsids>
    <w:rsidRoot w:val="00172A27"/>
    <w:rsid w:val="00000024"/>
    <w:rsid w:val="000008C8"/>
    <w:rsid w:val="0000090E"/>
    <w:rsid w:val="000026DC"/>
    <w:rsid w:val="00007F44"/>
    <w:rsid w:val="0001452E"/>
    <w:rsid w:val="00014CB4"/>
    <w:rsid w:val="000160CB"/>
    <w:rsid w:val="00016450"/>
    <w:rsid w:val="000202E0"/>
    <w:rsid w:val="00021E90"/>
    <w:rsid w:val="00023039"/>
    <w:rsid w:val="000251E2"/>
    <w:rsid w:val="00025332"/>
    <w:rsid w:val="000254AE"/>
    <w:rsid w:val="00026CFC"/>
    <w:rsid w:val="00030B4C"/>
    <w:rsid w:val="00031B1D"/>
    <w:rsid w:val="00032115"/>
    <w:rsid w:val="00032D07"/>
    <w:rsid w:val="00032D58"/>
    <w:rsid w:val="00034B27"/>
    <w:rsid w:val="00035151"/>
    <w:rsid w:val="000355C7"/>
    <w:rsid w:val="00035BB2"/>
    <w:rsid w:val="00037E49"/>
    <w:rsid w:val="000401BC"/>
    <w:rsid w:val="00042532"/>
    <w:rsid w:val="0004536F"/>
    <w:rsid w:val="00045479"/>
    <w:rsid w:val="00045DAB"/>
    <w:rsid w:val="00046E08"/>
    <w:rsid w:val="00047B7A"/>
    <w:rsid w:val="00050989"/>
    <w:rsid w:val="0005246A"/>
    <w:rsid w:val="00055228"/>
    <w:rsid w:val="000574D7"/>
    <w:rsid w:val="0005793A"/>
    <w:rsid w:val="000605D4"/>
    <w:rsid w:val="00061278"/>
    <w:rsid w:val="000634B3"/>
    <w:rsid w:val="00063B4D"/>
    <w:rsid w:val="00064A67"/>
    <w:rsid w:val="00064AAF"/>
    <w:rsid w:val="0006562B"/>
    <w:rsid w:val="000672F5"/>
    <w:rsid w:val="00067BA1"/>
    <w:rsid w:val="00067EF4"/>
    <w:rsid w:val="00070B9A"/>
    <w:rsid w:val="00071F34"/>
    <w:rsid w:val="00074CC2"/>
    <w:rsid w:val="000761FF"/>
    <w:rsid w:val="00076FDB"/>
    <w:rsid w:val="00077D08"/>
    <w:rsid w:val="00082A4D"/>
    <w:rsid w:val="00082DA0"/>
    <w:rsid w:val="000834ED"/>
    <w:rsid w:val="000835B1"/>
    <w:rsid w:val="000843BD"/>
    <w:rsid w:val="00084E17"/>
    <w:rsid w:val="00086958"/>
    <w:rsid w:val="00086B7B"/>
    <w:rsid w:val="00090E1E"/>
    <w:rsid w:val="000911A4"/>
    <w:rsid w:val="0009146A"/>
    <w:rsid w:val="00092062"/>
    <w:rsid w:val="00092F70"/>
    <w:rsid w:val="00092F9D"/>
    <w:rsid w:val="00094DE0"/>
    <w:rsid w:val="00096221"/>
    <w:rsid w:val="0009683F"/>
    <w:rsid w:val="0009691D"/>
    <w:rsid w:val="000A0885"/>
    <w:rsid w:val="000A388B"/>
    <w:rsid w:val="000A5D29"/>
    <w:rsid w:val="000A7F58"/>
    <w:rsid w:val="000B01A5"/>
    <w:rsid w:val="000B023F"/>
    <w:rsid w:val="000B2E28"/>
    <w:rsid w:val="000B30F2"/>
    <w:rsid w:val="000B3EF0"/>
    <w:rsid w:val="000B40C8"/>
    <w:rsid w:val="000C29A0"/>
    <w:rsid w:val="000C29A9"/>
    <w:rsid w:val="000C2AE4"/>
    <w:rsid w:val="000C2E91"/>
    <w:rsid w:val="000C3EC2"/>
    <w:rsid w:val="000C4D8A"/>
    <w:rsid w:val="000C51DC"/>
    <w:rsid w:val="000C5F34"/>
    <w:rsid w:val="000C628C"/>
    <w:rsid w:val="000C6923"/>
    <w:rsid w:val="000C7B56"/>
    <w:rsid w:val="000D002A"/>
    <w:rsid w:val="000D029A"/>
    <w:rsid w:val="000D18BD"/>
    <w:rsid w:val="000D1C6E"/>
    <w:rsid w:val="000D30E3"/>
    <w:rsid w:val="000D4737"/>
    <w:rsid w:val="000D52CB"/>
    <w:rsid w:val="000D5760"/>
    <w:rsid w:val="000D59E5"/>
    <w:rsid w:val="000D6F34"/>
    <w:rsid w:val="000D7B09"/>
    <w:rsid w:val="000E0E03"/>
    <w:rsid w:val="000E2C3E"/>
    <w:rsid w:val="000E3873"/>
    <w:rsid w:val="000F0F1B"/>
    <w:rsid w:val="000F1E8B"/>
    <w:rsid w:val="000F25DC"/>
    <w:rsid w:val="000F27FD"/>
    <w:rsid w:val="000F2D61"/>
    <w:rsid w:val="000F3559"/>
    <w:rsid w:val="000F4199"/>
    <w:rsid w:val="000F4DED"/>
    <w:rsid w:val="000F4EE7"/>
    <w:rsid w:val="0010293E"/>
    <w:rsid w:val="00104806"/>
    <w:rsid w:val="00106926"/>
    <w:rsid w:val="001078DD"/>
    <w:rsid w:val="00110818"/>
    <w:rsid w:val="00111C2C"/>
    <w:rsid w:val="0011380A"/>
    <w:rsid w:val="00113D51"/>
    <w:rsid w:val="00114438"/>
    <w:rsid w:val="001201CC"/>
    <w:rsid w:val="00121008"/>
    <w:rsid w:val="001210D3"/>
    <w:rsid w:val="00121FB8"/>
    <w:rsid w:val="00124342"/>
    <w:rsid w:val="001247A6"/>
    <w:rsid w:val="00124869"/>
    <w:rsid w:val="00125769"/>
    <w:rsid w:val="001275DA"/>
    <w:rsid w:val="001275EB"/>
    <w:rsid w:val="0013068A"/>
    <w:rsid w:val="00133A37"/>
    <w:rsid w:val="00133AF2"/>
    <w:rsid w:val="00135466"/>
    <w:rsid w:val="00137A3E"/>
    <w:rsid w:val="00140395"/>
    <w:rsid w:val="00140B1F"/>
    <w:rsid w:val="0014513E"/>
    <w:rsid w:val="001459EC"/>
    <w:rsid w:val="00145A76"/>
    <w:rsid w:val="0014647F"/>
    <w:rsid w:val="00150AFC"/>
    <w:rsid w:val="001511D1"/>
    <w:rsid w:val="001532C4"/>
    <w:rsid w:val="001560CE"/>
    <w:rsid w:val="001638ED"/>
    <w:rsid w:val="001642CE"/>
    <w:rsid w:val="001645DB"/>
    <w:rsid w:val="001647FD"/>
    <w:rsid w:val="001651BA"/>
    <w:rsid w:val="00166DB9"/>
    <w:rsid w:val="00167BBE"/>
    <w:rsid w:val="00170B09"/>
    <w:rsid w:val="00171734"/>
    <w:rsid w:val="001719F9"/>
    <w:rsid w:val="00171FD5"/>
    <w:rsid w:val="00172A27"/>
    <w:rsid w:val="00173556"/>
    <w:rsid w:val="00174AE3"/>
    <w:rsid w:val="00176B6A"/>
    <w:rsid w:val="00176CB5"/>
    <w:rsid w:val="00176E71"/>
    <w:rsid w:val="00177AD0"/>
    <w:rsid w:val="00180660"/>
    <w:rsid w:val="00180819"/>
    <w:rsid w:val="00180F60"/>
    <w:rsid w:val="001831FF"/>
    <w:rsid w:val="0018339E"/>
    <w:rsid w:val="00184FE2"/>
    <w:rsid w:val="00186085"/>
    <w:rsid w:val="00187AD5"/>
    <w:rsid w:val="00187E17"/>
    <w:rsid w:val="0019035A"/>
    <w:rsid w:val="0019365E"/>
    <w:rsid w:val="00193755"/>
    <w:rsid w:val="001945D6"/>
    <w:rsid w:val="001953A5"/>
    <w:rsid w:val="00195AE0"/>
    <w:rsid w:val="001A1DFA"/>
    <w:rsid w:val="001A2540"/>
    <w:rsid w:val="001A3DBA"/>
    <w:rsid w:val="001A5617"/>
    <w:rsid w:val="001A6C65"/>
    <w:rsid w:val="001A73DA"/>
    <w:rsid w:val="001B05D9"/>
    <w:rsid w:val="001B0658"/>
    <w:rsid w:val="001B12F6"/>
    <w:rsid w:val="001B1D8D"/>
    <w:rsid w:val="001B4CF9"/>
    <w:rsid w:val="001B541F"/>
    <w:rsid w:val="001B67D2"/>
    <w:rsid w:val="001C033B"/>
    <w:rsid w:val="001C0E74"/>
    <w:rsid w:val="001C1CF4"/>
    <w:rsid w:val="001C1DCB"/>
    <w:rsid w:val="001C1E62"/>
    <w:rsid w:val="001C29F9"/>
    <w:rsid w:val="001C2DB7"/>
    <w:rsid w:val="001C48CC"/>
    <w:rsid w:val="001C74FE"/>
    <w:rsid w:val="001C7931"/>
    <w:rsid w:val="001D3570"/>
    <w:rsid w:val="001D5AE3"/>
    <w:rsid w:val="001D7E61"/>
    <w:rsid w:val="001E002C"/>
    <w:rsid w:val="001E162F"/>
    <w:rsid w:val="001E2A81"/>
    <w:rsid w:val="001E45E3"/>
    <w:rsid w:val="001E579D"/>
    <w:rsid w:val="001E5994"/>
    <w:rsid w:val="001E7204"/>
    <w:rsid w:val="001E7F47"/>
    <w:rsid w:val="001F0D1C"/>
    <w:rsid w:val="001F1063"/>
    <w:rsid w:val="001F1EC8"/>
    <w:rsid w:val="001F2DE4"/>
    <w:rsid w:val="001F31F8"/>
    <w:rsid w:val="001F3518"/>
    <w:rsid w:val="001F3995"/>
    <w:rsid w:val="001F4167"/>
    <w:rsid w:val="001F429E"/>
    <w:rsid w:val="001F4D0F"/>
    <w:rsid w:val="001F6666"/>
    <w:rsid w:val="001F6B1F"/>
    <w:rsid w:val="001F6DDC"/>
    <w:rsid w:val="002000D6"/>
    <w:rsid w:val="00200364"/>
    <w:rsid w:val="00200AAB"/>
    <w:rsid w:val="00200C15"/>
    <w:rsid w:val="00202022"/>
    <w:rsid w:val="00202B65"/>
    <w:rsid w:val="00202C81"/>
    <w:rsid w:val="00203058"/>
    <w:rsid w:val="00207E31"/>
    <w:rsid w:val="002105D6"/>
    <w:rsid w:val="00210836"/>
    <w:rsid w:val="00210D27"/>
    <w:rsid w:val="002117DF"/>
    <w:rsid w:val="00213C46"/>
    <w:rsid w:val="00215302"/>
    <w:rsid w:val="00220AA4"/>
    <w:rsid w:val="00220C53"/>
    <w:rsid w:val="00221393"/>
    <w:rsid w:val="002227E2"/>
    <w:rsid w:val="00223916"/>
    <w:rsid w:val="00223BEE"/>
    <w:rsid w:val="00223D14"/>
    <w:rsid w:val="002248F7"/>
    <w:rsid w:val="002255ED"/>
    <w:rsid w:val="002263C0"/>
    <w:rsid w:val="00226BD1"/>
    <w:rsid w:val="00227674"/>
    <w:rsid w:val="0023007C"/>
    <w:rsid w:val="00231E86"/>
    <w:rsid w:val="002322EA"/>
    <w:rsid w:val="00234D51"/>
    <w:rsid w:val="00235136"/>
    <w:rsid w:val="00235EBE"/>
    <w:rsid w:val="0024089F"/>
    <w:rsid w:val="00240EB0"/>
    <w:rsid w:val="00241483"/>
    <w:rsid w:val="00241508"/>
    <w:rsid w:val="00241FE8"/>
    <w:rsid w:val="002430D7"/>
    <w:rsid w:val="00243369"/>
    <w:rsid w:val="002439B7"/>
    <w:rsid w:val="0024419B"/>
    <w:rsid w:val="0024455E"/>
    <w:rsid w:val="0024534A"/>
    <w:rsid w:val="00246F37"/>
    <w:rsid w:val="0025007A"/>
    <w:rsid w:val="002509D5"/>
    <w:rsid w:val="00251299"/>
    <w:rsid w:val="00253593"/>
    <w:rsid w:val="00256599"/>
    <w:rsid w:val="00256630"/>
    <w:rsid w:val="00256DFA"/>
    <w:rsid w:val="00256F9D"/>
    <w:rsid w:val="00257461"/>
    <w:rsid w:val="0025799B"/>
    <w:rsid w:val="002606EB"/>
    <w:rsid w:val="00260A1D"/>
    <w:rsid w:val="0026248B"/>
    <w:rsid w:val="002636BF"/>
    <w:rsid w:val="002649C0"/>
    <w:rsid w:val="00264B72"/>
    <w:rsid w:val="00267BFB"/>
    <w:rsid w:val="00270E17"/>
    <w:rsid w:val="002760CC"/>
    <w:rsid w:val="00280BAC"/>
    <w:rsid w:val="00281495"/>
    <w:rsid w:val="002836F5"/>
    <w:rsid w:val="00284A48"/>
    <w:rsid w:val="00285602"/>
    <w:rsid w:val="00286A98"/>
    <w:rsid w:val="00287C39"/>
    <w:rsid w:val="0029162C"/>
    <w:rsid w:val="0029294E"/>
    <w:rsid w:val="00294192"/>
    <w:rsid w:val="002950BF"/>
    <w:rsid w:val="0029603C"/>
    <w:rsid w:val="002A01D0"/>
    <w:rsid w:val="002A03A1"/>
    <w:rsid w:val="002A1689"/>
    <w:rsid w:val="002A20F4"/>
    <w:rsid w:val="002A2FBB"/>
    <w:rsid w:val="002A369D"/>
    <w:rsid w:val="002A448E"/>
    <w:rsid w:val="002A4B2A"/>
    <w:rsid w:val="002A4DF7"/>
    <w:rsid w:val="002B1529"/>
    <w:rsid w:val="002B1F04"/>
    <w:rsid w:val="002B2BA0"/>
    <w:rsid w:val="002B2C8E"/>
    <w:rsid w:val="002B4431"/>
    <w:rsid w:val="002B5742"/>
    <w:rsid w:val="002B7DE6"/>
    <w:rsid w:val="002C29B0"/>
    <w:rsid w:val="002C2A89"/>
    <w:rsid w:val="002C3598"/>
    <w:rsid w:val="002C39AF"/>
    <w:rsid w:val="002C425C"/>
    <w:rsid w:val="002D00E5"/>
    <w:rsid w:val="002D097C"/>
    <w:rsid w:val="002D12B6"/>
    <w:rsid w:val="002D1866"/>
    <w:rsid w:val="002D25C1"/>
    <w:rsid w:val="002D3483"/>
    <w:rsid w:val="002D3F06"/>
    <w:rsid w:val="002E20C7"/>
    <w:rsid w:val="002E2A49"/>
    <w:rsid w:val="002E3920"/>
    <w:rsid w:val="002E3DF7"/>
    <w:rsid w:val="002E4F70"/>
    <w:rsid w:val="002F12D1"/>
    <w:rsid w:val="002F1770"/>
    <w:rsid w:val="002F1F6E"/>
    <w:rsid w:val="002F50B8"/>
    <w:rsid w:val="002F50F2"/>
    <w:rsid w:val="00302CA9"/>
    <w:rsid w:val="00303898"/>
    <w:rsid w:val="00303CFA"/>
    <w:rsid w:val="0030406F"/>
    <w:rsid w:val="00304C22"/>
    <w:rsid w:val="00304EB8"/>
    <w:rsid w:val="0030614B"/>
    <w:rsid w:val="003070AC"/>
    <w:rsid w:val="00307E90"/>
    <w:rsid w:val="0031019D"/>
    <w:rsid w:val="00310DFA"/>
    <w:rsid w:val="00312032"/>
    <w:rsid w:val="003131D1"/>
    <w:rsid w:val="00314FC5"/>
    <w:rsid w:val="00315401"/>
    <w:rsid w:val="00316564"/>
    <w:rsid w:val="00317270"/>
    <w:rsid w:val="003211DE"/>
    <w:rsid w:val="00322347"/>
    <w:rsid w:val="00322785"/>
    <w:rsid w:val="00324E4F"/>
    <w:rsid w:val="003252C6"/>
    <w:rsid w:val="0032575C"/>
    <w:rsid w:val="00332553"/>
    <w:rsid w:val="00333391"/>
    <w:rsid w:val="00336750"/>
    <w:rsid w:val="00340436"/>
    <w:rsid w:val="0034067E"/>
    <w:rsid w:val="0034291E"/>
    <w:rsid w:val="00343DAD"/>
    <w:rsid w:val="00344EF1"/>
    <w:rsid w:val="00351B3D"/>
    <w:rsid w:val="00351FEE"/>
    <w:rsid w:val="0035239B"/>
    <w:rsid w:val="00353449"/>
    <w:rsid w:val="00354869"/>
    <w:rsid w:val="00354F81"/>
    <w:rsid w:val="003551DF"/>
    <w:rsid w:val="00356313"/>
    <w:rsid w:val="003566C5"/>
    <w:rsid w:val="00356E8E"/>
    <w:rsid w:val="00357B37"/>
    <w:rsid w:val="0036114D"/>
    <w:rsid w:val="003629B8"/>
    <w:rsid w:val="00363ACD"/>
    <w:rsid w:val="00364E7D"/>
    <w:rsid w:val="0037055C"/>
    <w:rsid w:val="003711B2"/>
    <w:rsid w:val="00371229"/>
    <w:rsid w:val="00372FA2"/>
    <w:rsid w:val="00375207"/>
    <w:rsid w:val="00375C35"/>
    <w:rsid w:val="0037608B"/>
    <w:rsid w:val="0037676E"/>
    <w:rsid w:val="003768C4"/>
    <w:rsid w:val="003778BD"/>
    <w:rsid w:val="003816A6"/>
    <w:rsid w:val="0038303D"/>
    <w:rsid w:val="00383181"/>
    <w:rsid w:val="00383F7E"/>
    <w:rsid w:val="00384360"/>
    <w:rsid w:val="00384CAA"/>
    <w:rsid w:val="00390B06"/>
    <w:rsid w:val="00392633"/>
    <w:rsid w:val="00392FB7"/>
    <w:rsid w:val="00393C92"/>
    <w:rsid w:val="00396865"/>
    <w:rsid w:val="003976BD"/>
    <w:rsid w:val="003A3779"/>
    <w:rsid w:val="003A3DFA"/>
    <w:rsid w:val="003A55EB"/>
    <w:rsid w:val="003A7577"/>
    <w:rsid w:val="003A7EBC"/>
    <w:rsid w:val="003B10B2"/>
    <w:rsid w:val="003B2B2E"/>
    <w:rsid w:val="003B30DA"/>
    <w:rsid w:val="003B310C"/>
    <w:rsid w:val="003B3690"/>
    <w:rsid w:val="003B5E1E"/>
    <w:rsid w:val="003B610A"/>
    <w:rsid w:val="003B6730"/>
    <w:rsid w:val="003B68E3"/>
    <w:rsid w:val="003B7FF9"/>
    <w:rsid w:val="003C03D8"/>
    <w:rsid w:val="003C0719"/>
    <w:rsid w:val="003C29A8"/>
    <w:rsid w:val="003C334D"/>
    <w:rsid w:val="003C450A"/>
    <w:rsid w:val="003C6047"/>
    <w:rsid w:val="003C6F87"/>
    <w:rsid w:val="003C788E"/>
    <w:rsid w:val="003D0577"/>
    <w:rsid w:val="003D4B28"/>
    <w:rsid w:val="003D791C"/>
    <w:rsid w:val="003D7FB0"/>
    <w:rsid w:val="003E06E9"/>
    <w:rsid w:val="003E202C"/>
    <w:rsid w:val="003E49FE"/>
    <w:rsid w:val="003E5DED"/>
    <w:rsid w:val="003E61CF"/>
    <w:rsid w:val="003E6C70"/>
    <w:rsid w:val="003E6E52"/>
    <w:rsid w:val="003F2442"/>
    <w:rsid w:val="003F2878"/>
    <w:rsid w:val="003F3439"/>
    <w:rsid w:val="003F3B3E"/>
    <w:rsid w:val="003F45F1"/>
    <w:rsid w:val="003F61FA"/>
    <w:rsid w:val="003F6373"/>
    <w:rsid w:val="003F7CE3"/>
    <w:rsid w:val="004000EA"/>
    <w:rsid w:val="0040081B"/>
    <w:rsid w:val="00401258"/>
    <w:rsid w:val="0040141B"/>
    <w:rsid w:val="00401F47"/>
    <w:rsid w:val="004023B9"/>
    <w:rsid w:val="00402524"/>
    <w:rsid w:val="004028DE"/>
    <w:rsid w:val="00403253"/>
    <w:rsid w:val="00403749"/>
    <w:rsid w:val="00404ABC"/>
    <w:rsid w:val="00404D2C"/>
    <w:rsid w:val="004072D3"/>
    <w:rsid w:val="004111EC"/>
    <w:rsid w:val="00411526"/>
    <w:rsid w:val="00411B8C"/>
    <w:rsid w:val="00414251"/>
    <w:rsid w:val="004163DF"/>
    <w:rsid w:val="00416E76"/>
    <w:rsid w:val="00416E97"/>
    <w:rsid w:val="004173DD"/>
    <w:rsid w:val="00420D69"/>
    <w:rsid w:val="00420EA1"/>
    <w:rsid w:val="0042477D"/>
    <w:rsid w:val="004303DF"/>
    <w:rsid w:val="00430A04"/>
    <w:rsid w:val="00431056"/>
    <w:rsid w:val="0043201C"/>
    <w:rsid w:val="00432C81"/>
    <w:rsid w:val="00433318"/>
    <w:rsid w:val="00433547"/>
    <w:rsid w:val="00433C6C"/>
    <w:rsid w:val="00433ED7"/>
    <w:rsid w:val="004342E1"/>
    <w:rsid w:val="00441BD5"/>
    <w:rsid w:val="00441CC0"/>
    <w:rsid w:val="00445E1D"/>
    <w:rsid w:val="004466C0"/>
    <w:rsid w:val="00447F95"/>
    <w:rsid w:val="00450AE9"/>
    <w:rsid w:val="00453547"/>
    <w:rsid w:val="00456721"/>
    <w:rsid w:val="00457AED"/>
    <w:rsid w:val="004630B0"/>
    <w:rsid w:val="0046320A"/>
    <w:rsid w:val="00464537"/>
    <w:rsid w:val="004702FA"/>
    <w:rsid w:val="00470844"/>
    <w:rsid w:val="0047150D"/>
    <w:rsid w:val="00471662"/>
    <w:rsid w:val="00471F86"/>
    <w:rsid w:val="004734F6"/>
    <w:rsid w:val="0047412C"/>
    <w:rsid w:val="00475E2E"/>
    <w:rsid w:val="00476047"/>
    <w:rsid w:val="00476240"/>
    <w:rsid w:val="00477CC8"/>
    <w:rsid w:val="00481F4B"/>
    <w:rsid w:val="00483ADE"/>
    <w:rsid w:val="00483B8E"/>
    <w:rsid w:val="00483FBD"/>
    <w:rsid w:val="00484750"/>
    <w:rsid w:val="00484A03"/>
    <w:rsid w:val="00485934"/>
    <w:rsid w:val="004872C7"/>
    <w:rsid w:val="00487DF7"/>
    <w:rsid w:val="0049199B"/>
    <w:rsid w:val="00493CE2"/>
    <w:rsid w:val="0049467A"/>
    <w:rsid w:val="00494759"/>
    <w:rsid w:val="0049604D"/>
    <w:rsid w:val="00496D54"/>
    <w:rsid w:val="004972F9"/>
    <w:rsid w:val="00497402"/>
    <w:rsid w:val="00497EB0"/>
    <w:rsid w:val="00497F3D"/>
    <w:rsid w:val="004A0F10"/>
    <w:rsid w:val="004A1D4B"/>
    <w:rsid w:val="004A29C4"/>
    <w:rsid w:val="004A3605"/>
    <w:rsid w:val="004A4A52"/>
    <w:rsid w:val="004A4CD1"/>
    <w:rsid w:val="004A5FDF"/>
    <w:rsid w:val="004A6076"/>
    <w:rsid w:val="004A72AC"/>
    <w:rsid w:val="004A7772"/>
    <w:rsid w:val="004B2937"/>
    <w:rsid w:val="004B2F20"/>
    <w:rsid w:val="004B4796"/>
    <w:rsid w:val="004B4F7C"/>
    <w:rsid w:val="004B70A8"/>
    <w:rsid w:val="004C3DF4"/>
    <w:rsid w:val="004C4109"/>
    <w:rsid w:val="004C4577"/>
    <w:rsid w:val="004C7098"/>
    <w:rsid w:val="004D0088"/>
    <w:rsid w:val="004D07BB"/>
    <w:rsid w:val="004D2DDD"/>
    <w:rsid w:val="004D31AA"/>
    <w:rsid w:val="004D3B78"/>
    <w:rsid w:val="004D403E"/>
    <w:rsid w:val="004D5203"/>
    <w:rsid w:val="004D528B"/>
    <w:rsid w:val="004D5309"/>
    <w:rsid w:val="004D62DC"/>
    <w:rsid w:val="004D6966"/>
    <w:rsid w:val="004D6BD4"/>
    <w:rsid w:val="004E11BA"/>
    <w:rsid w:val="004E3446"/>
    <w:rsid w:val="004E7F12"/>
    <w:rsid w:val="004F02C4"/>
    <w:rsid w:val="004F249C"/>
    <w:rsid w:val="004F2F40"/>
    <w:rsid w:val="004F37E0"/>
    <w:rsid w:val="004F5B1B"/>
    <w:rsid w:val="00500240"/>
    <w:rsid w:val="00500A04"/>
    <w:rsid w:val="00502980"/>
    <w:rsid w:val="00502CE5"/>
    <w:rsid w:val="005036ED"/>
    <w:rsid w:val="0050391D"/>
    <w:rsid w:val="00504658"/>
    <w:rsid w:val="00504CF1"/>
    <w:rsid w:val="0050532C"/>
    <w:rsid w:val="00506ED0"/>
    <w:rsid w:val="005118CF"/>
    <w:rsid w:val="005119DB"/>
    <w:rsid w:val="00511F38"/>
    <w:rsid w:val="0051439A"/>
    <w:rsid w:val="00514621"/>
    <w:rsid w:val="00514660"/>
    <w:rsid w:val="0051623F"/>
    <w:rsid w:val="005177C7"/>
    <w:rsid w:val="005179CD"/>
    <w:rsid w:val="00520968"/>
    <w:rsid w:val="00520F2D"/>
    <w:rsid w:val="0052198B"/>
    <w:rsid w:val="00522481"/>
    <w:rsid w:val="00522B5F"/>
    <w:rsid w:val="00522D68"/>
    <w:rsid w:val="0052312E"/>
    <w:rsid w:val="005240E6"/>
    <w:rsid w:val="00525AC1"/>
    <w:rsid w:val="00525ADF"/>
    <w:rsid w:val="005264D5"/>
    <w:rsid w:val="00526C18"/>
    <w:rsid w:val="00526D29"/>
    <w:rsid w:val="00527A77"/>
    <w:rsid w:val="00527C8E"/>
    <w:rsid w:val="00530010"/>
    <w:rsid w:val="00530E4B"/>
    <w:rsid w:val="0053233B"/>
    <w:rsid w:val="00532A68"/>
    <w:rsid w:val="00533601"/>
    <w:rsid w:val="0053409C"/>
    <w:rsid w:val="00536EE6"/>
    <w:rsid w:val="005376DF"/>
    <w:rsid w:val="00540DD8"/>
    <w:rsid w:val="0054182E"/>
    <w:rsid w:val="00541EDD"/>
    <w:rsid w:val="00545A2D"/>
    <w:rsid w:val="00545A56"/>
    <w:rsid w:val="00545B55"/>
    <w:rsid w:val="0055016F"/>
    <w:rsid w:val="00550C4A"/>
    <w:rsid w:val="00551318"/>
    <w:rsid w:val="00552D6B"/>
    <w:rsid w:val="005539B8"/>
    <w:rsid w:val="00554B92"/>
    <w:rsid w:val="00554E69"/>
    <w:rsid w:val="0055577C"/>
    <w:rsid w:val="00556CC7"/>
    <w:rsid w:val="0055743B"/>
    <w:rsid w:val="00557992"/>
    <w:rsid w:val="005607ED"/>
    <w:rsid w:val="00561977"/>
    <w:rsid w:val="005627E0"/>
    <w:rsid w:val="0056358E"/>
    <w:rsid w:val="00565F87"/>
    <w:rsid w:val="00566B3A"/>
    <w:rsid w:val="00566D29"/>
    <w:rsid w:val="00570378"/>
    <w:rsid w:val="00570658"/>
    <w:rsid w:val="00570B13"/>
    <w:rsid w:val="00572652"/>
    <w:rsid w:val="0057356B"/>
    <w:rsid w:val="00573BA7"/>
    <w:rsid w:val="00574A0D"/>
    <w:rsid w:val="005757A8"/>
    <w:rsid w:val="00580264"/>
    <w:rsid w:val="005808BD"/>
    <w:rsid w:val="00584C16"/>
    <w:rsid w:val="005870AE"/>
    <w:rsid w:val="005911B9"/>
    <w:rsid w:val="00592517"/>
    <w:rsid w:val="00592B84"/>
    <w:rsid w:val="00593FA0"/>
    <w:rsid w:val="00594D67"/>
    <w:rsid w:val="00595893"/>
    <w:rsid w:val="005966B0"/>
    <w:rsid w:val="005972FA"/>
    <w:rsid w:val="005973CF"/>
    <w:rsid w:val="005A04A6"/>
    <w:rsid w:val="005A098C"/>
    <w:rsid w:val="005A09D3"/>
    <w:rsid w:val="005A0CBC"/>
    <w:rsid w:val="005A0F8A"/>
    <w:rsid w:val="005A3A2A"/>
    <w:rsid w:val="005A4EBA"/>
    <w:rsid w:val="005A597E"/>
    <w:rsid w:val="005A613D"/>
    <w:rsid w:val="005A7CC4"/>
    <w:rsid w:val="005B0D37"/>
    <w:rsid w:val="005B3BCE"/>
    <w:rsid w:val="005B42D2"/>
    <w:rsid w:val="005B5954"/>
    <w:rsid w:val="005B7890"/>
    <w:rsid w:val="005B7BF1"/>
    <w:rsid w:val="005C027B"/>
    <w:rsid w:val="005C21EE"/>
    <w:rsid w:val="005C52B5"/>
    <w:rsid w:val="005C682A"/>
    <w:rsid w:val="005C7122"/>
    <w:rsid w:val="005C7583"/>
    <w:rsid w:val="005C7722"/>
    <w:rsid w:val="005D11F3"/>
    <w:rsid w:val="005D1A1B"/>
    <w:rsid w:val="005D1BE3"/>
    <w:rsid w:val="005D3C28"/>
    <w:rsid w:val="005D532E"/>
    <w:rsid w:val="005D5A17"/>
    <w:rsid w:val="005D61F4"/>
    <w:rsid w:val="005E0F81"/>
    <w:rsid w:val="005E1D1D"/>
    <w:rsid w:val="005E1D35"/>
    <w:rsid w:val="005E2676"/>
    <w:rsid w:val="005E284A"/>
    <w:rsid w:val="005E2F8B"/>
    <w:rsid w:val="005E3104"/>
    <w:rsid w:val="005E5305"/>
    <w:rsid w:val="005E538E"/>
    <w:rsid w:val="005E637E"/>
    <w:rsid w:val="005E78A4"/>
    <w:rsid w:val="005E7EF9"/>
    <w:rsid w:val="005F0222"/>
    <w:rsid w:val="005F0A27"/>
    <w:rsid w:val="005F5275"/>
    <w:rsid w:val="005F550E"/>
    <w:rsid w:val="005F5986"/>
    <w:rsid w:val="005F6D94"/>
    <w:rsid w:val="006002BF"/>
    <w:rsid w:val="006006FE"/>
    <w:rsid w:val="00602C23"/>
    <w:rsid w:val="00602E69"/>
    <w:rsid w:val="00603C6D"/>
    <w:rsid w:val="00603D2F"/>
    <w:rsid w:val="00605B5E"/>
    <w:rsid w:val="0060711A"/>
    <w:rsid w:val="0060795F"/>
    <w:rsid w:val="00610830"/>
    <w:rsid w:val="00610B5B"/>
    <w:rsid w:val="00610CC5"/>
    <w:rsid w:val="00612902"/>
    <w:rsid w:val="00613605"/>
    <w:rsid w:val="00614674"/>
    <w:rsid w:val="00616C11"/>
    <w:rsid w:val="00620662"/>
    <w:rsid w:val="00621C20"/>
    <w:rsid w:val="00621ECF"/>
    <w:rsid w:val="00621FF5"/>
    <w:rsid w:val="006222AC"/>
    <w:rsid w:val="00624367"/>
    <w:rsid w:val="006244E7"/>
    <w:rsid w:val="006278D0"/>
    <w:rsid w:val="00630426"/>
    <w:rsid w:val="00630545"/>
    <w:rsid w:val="00630D9F"/>
    <w:rsid w:val="00633183"/>
    <w:rsid w:val="0063330B"/>
    <w:rsid w:val="006345DE"/>
    <w:rsid w:val="00635095"/>
    <w:rsid w:val="006352B7"/>
    <w:rsid w:val="0063742B"/>
    <w:rsid w:val="00640E60"/>
    <w:rsid w:val="00642B77"/>
    <w:rsid w:val="0064373B"/>
    <w:rsid w:val="00646CCA"/>
    <w:rsid w:val="00647D1B"/>
    <w:rsid w:val="006502B7"/>
    <w:rsid w:val="006507A3"/>
    <w:rsid w:val="00653309"/>
    <w:rsid w:val="00660797"/>
    <w:rsid w:val="00661C82"/>
    <w:rsid w:val="006640CB"/>
    <w:rsid w:val="00665EB9"/>
    <w:rsid w:val="00665EE4"/>
    <w:rsid w:val="00670EE8"/>
    <w:rsid w:val="00674B0A"/>
    <w:rsid w:val="00674D07"/>
    <w:rsid w:val="00676C83"/>
    <w:rsid w:val="0067740D"/>
    <w:rsid w:val="00681352"/>
    <w:rsid w:val="00686B08"/>
    <w:rsid w:val="00687342"/>
    <w:rsid w:val="00687E84"/>
    <w:rsid w:val="00695354"/>
    <w:rsid w:val="006A01EE"/>
    <w:rsid w:val="006A4BBB"/>
    <w:rsid w:val="006A52D6"/>
    <w:rsid w:val="006B17B7"/>
    <w:rsid w:val="006B210F"/>
    <w:rsid w:val="006B242D"/>
    <w:rsid w:val="006B2EC8"/>
    <w:rsid w:val="006B4624"/>
    <w:rsid w:val="006B6657"/>
    <w:rsid w:val="006C014E"/>
    <w:rsid w:val="006C10A4"/>
    <w:rsid w:val="006C2538"/>
    <w:rsid w:val="006C38BA"/>
    <w:rsid w:val="006C64B3"/>
    <w:rsid w:val="006C65E5"/>
    <w:rsid w:val="006D0BC9"/>
    <w:rsid w:val="006D1C6C"/>
    <w:rsid w:val="006D1C78"/>
    <w:rsid w:val="006D24AF"/>
    <w:rsid w:val="006D3163"/>
    <w:rsid w:val="006D34EB"/>
    <w:rsid w:val="006D4A71"/>
    <w:rsid w:val="006D514B"/>
    <w:rsid w:val="006D5719"/>
    <w:rsid w:val="006E00BA"/>
    <w:rsid w:val="006E0504"/>
    <w:rsid w:val="006E2736"/>
    <w:rsid w:val="006E2AFF"/>
    <w:rsid w:val="006E38CC"/>
    <w:rsid w:val="006E4B2D"/>
    <w:rsid w:val="006E54F3"/>
    <w:rsid w:val="006E5527"/>
    <w:rsid w:val="006E67B5"/>
    <w:rsid w:val="006F00AD"/>
    <w:rsid w:val="006F2294"/>
    <w:rsid w:val="006F2589"/>
    <w:rsid w:val="006F31E6"/>
    <w:rsid w:val="006F39FB"/>
    <w:rsid w:val="006F5540"/>
    <w:rsid w:val="006F6537"/>
    <w:rsid w:val="006F6AAA"/>
    <w:rsid w:val="00700B7E"/>
    <w:rsid w:val="00700D24"/>
    <w:rsid w:val="007027CF"/>
    <w:rsid w:val="007039AB"/>
    <w:rsid w:val="00705028"/>
    <w:rsid w:val="00705A21"/>
    <w:rsid w:val="007106E8"/>
    <w:rsid w:val="00710E67"/>
    <w:rsid w:val="007137E7"/>
    <w:rsid w:val="00713B82"/>
    <w:rsid w:val="00715111"/>
    <w:rsid w:val="00721A4B"/>
    <w:rsid w:val="00722205"/>
    <w:rsid w:val="007224DB"/>
    <w:rsid w:val="007233C5"/>
    <w:rsid w:val="007233CE"/>
    <w:rsid w:val="00723506"/>
    <w:rsid w:val="0073096C"/>
    <w:rsid w:val="007312E1"/>
    <w:rsid w:val="007337DE"/>
    <w:rsid w:val="00733E64"/>
    <w:rsid w:val="00734458"/>
    <w:rsid w:val="0073469C"/>
    <w:rsid w:val="0073489C"/>
    <w:rsid w:val="0073602D"/>
    <w:rsid w:val="00737DCC"/>
    <w:rsid w:val="00741AB9"/>
    <w:rsid w:val="007435B6"/>
    <w:rsid w:val="00743A0B"/>
    <w:rsid w:val="00744A69"/>
    <w:rsid w:val="00746084"/>
    <w:rsid w:val="007474FD"/>
    <w:rsid w:val="00747DF2"/>
    <w:rsid w:val="00747F2B"/>
    <w:rsid w:val="00750F9A"/>
    <w:rsid w:val="0075639D"/>
    <w:rsid w:val="007565EB"/>
    <w:rsid w:val="0075661A"/>
    <w:rsid w:val="00760924"/>
    <w:rsid w:val="00761BF6"/>
    <w:rsid w:val="00761BFB"/>
    <w:rsid w:val="0076223E"/>
    <w:rsid w:val="0076332A"/>
    <w:rsid w:val="00764CE0"/>
    <w:rsid w:val="007653D5"/>
    <w:rsid w:val="0076567F"/>
    <w:rsid w:val="00766AB3"/>
    <w:rsid w:val="0076760C"/>
    <w:rsid w:val="007721FD"/>
    <w:rsid w:val="00775849"/>
    <w:rsid w:val="007766AA"/>
    <w:rsid w:val="0077700F"/>
    <w:rsid w:val="0077719A"/>
    <w:rsid w:val="00780868"/>
    <w:rsid w:val="00782504"/>
    <w:rsid w:val="00783055"/>
    <w:rsid w:val="007850EA"/>
    <w:rsid w:val="00785280"/>
    <w:rsid w:val="00791D6A"/>
    <w:rsid w:val="00791F0D"/>
    <w:rsid w:val="007939CE"/>
    <w:rsid w:val="007943B5"/>
    <w:rsid w:val="00795DD0"/>
    <w:rsid w:val="007A1861"/>
    <w:rsid w:val="007A1F04"/>
    <w:rsid w:val="007A1F73"/>
    <w:rsid w:val="007A416B"/>
    <w:rsid w:val="007A6FCF"/>
    <w:rsid w:val="007A71E0"/>
    <w:rsid w:val="007A7F31"/>
    <w:rsid w:val="007B0493"/>
    <w:rsid w:val="007B0692"/>
    <w:rsid w:val="007B0DFC"/>
    <w:rsid w:val="007B4CA1"/>
    <w:rsid w:val="007B612E"/>
    <w:rsid w:val="007B65CE"/>
    <w:rsid w:val="007B70CA"/>
    <w:rsid w:val="007B79C5"/>
    <w:rsid w:val="007C05B1"/>
    <w:rsid w:val="007C1AE8"/>
    <w:rsid w:val="007C216B"/>
    <w:rsid w:val="007C2BCE"/>
    <w:rsid w:val="007C30CB"/>
    <w:rsid w:val="007C59CF"/>
    <w:rsid w:val="007C735F"/>
    <w:rsid w:val="007C7A51"/>
    <w:rsid w:val="007C7CF3"/>
    <w:rsid w:val="007C7E55"/>
    <w:rsid w:val="007D097D"/>
    <w:rsid w:val="007D0EC2"/>
    <w:rsid w:val="007D2656"/>
    <w:rsid w:val="007D26F9"/>
    <w:rsid w:val="007D2DA3"/>
    <w:rsid w:val="007D4840"/>
    <w:rsid w:val="007D4F40"/>
    <w:rsid w:val="007D5E67"/>
    <w:rsid w:val="007E09E1"/>
    <w:rsid w:val="007E0A2A"/>
    <w:rsid w:val="007E1024"/>
    <w:rsid w:val="007E1B1E"/>
    <w:rsid w:val="007E209A"/>
    <w:rsid w:val="007E256B"/>
    <w:rsid w:val="007E6383"/>
    <w:rsid w:val="007E6DD3"/>
    <w:rsid w:val="007E712B"/>
    <w:rsid w:val="007E7350"/>
    <w:rsid w:val="007F1400"/>
    <w:rsid w:val="007F21D4"/>
    <w:rsid w:val="007F2729"/>
    <w:rsid w:val="007F323A"/>
    <w:rsid w:val="007F335C"/>
    <w:rsid w:val="007F4863"/>
    <w:rsid w:val="007F796D"/>
    <w:rsid w:val="00801551"/>
    <w:rsid w:val="0080172C"/>
    <w:rsid w:val="00803CFA"/>
    <w:rsid w:val="008051E7"/>
    <w:rsid w:val="00813742"/>
    <w:rsid w:val="0081380F"/>
    <w:rsid w:val="008145B5"/>
    <w:rsid w:val="00814638"/>
    <w:rsid w:val="008155C7"/>
    <w:rsid w:val="00820D6D"/>
    <w:rsid w:val="0082105F"/>
    <w:rsid w:val="008212CF"/>
    <w:rsid w:val="00821616"/>
    <w:rsid w:val="00821CC3"/>
    <w:rsid w:val="00822350"/>
    <w:rsid w:val="008225E2"/>
    <w:rsid w:val="008231B6"/>
    <w:rsid w:val="008235AD"/>
    <w:rsid w:val="00824252"/>
    <w:rsid w:val="00824D61"/>
    <w:rsid w:val="00825E15"/>
    <w:rsid w:val="0082652A"/>
    <w:rsid w:val="00826F67"/>
    <w:rsid w:val="00827189"/>
    <w:rsid w:val="0082777A"/>
    <w:rsid w:val="00827856"/>
    <w:rsid w:val="008314FB"/>
    <w:rsid w:val="008317DC"/>
    <w:rsid w:val="008321AA"/>
    <w:rsid w:val="00832C3E"/>
    <w:rsid w:val="00834FA2"/>
    <w:rsid w:val="008356B7"/>
    <w:rsid w:val="008368A2"/>
    <w:rsid w:val="00836E3E"/>
    <w:rsid w:val="00837259"/>
    <w:rsid w:val="0084002D"/>
    <w:rsid w:val="008417C0"/>
    <w:rsid w:val="00842274"/>
    <w:rsid w:val="00842892"/>
    <w:rsid w:val="00843443"/>
    <w:rsid w:val="00844874"/>
    <w:rsid w:val="00846903"/>
    <w:rsid w:val="00846BF2"/>
    <w:rsid w:val="00850C82"/>
    <w:rsid w:val="008524CE"/>
    <w:rsid w:val="00855605"/>
    <w:rsid w:val="00856AFA"/>
    <w:rsid w:val="00861862"/>
    <w:rsid w:val="008649B4"/>
    <w:rsid w:val="00865ECC"/>
    <w:rsid w:val="00867575"/>
    <w:rsid w:val="00870052"/>
    <w:rsid w:val="00872F07"/>
    <w:rsid w:val="008737D6"/>
    <w:rsid w:val="00873949"/>
    <w:rsid w:val="008739A7"/>
    <w:rsid w:val="00873B70"/>
    <w:rsid w:val="00876004"/>
    <w:rsid w:val="008768C0"/>
    <w:rsid w:val="00877C5D"/>
    <w:rsid w:val="00877E43"/>
    <w:rsid w:val="00880B38"/>
    <w:rsid w:val="00882B8D"/>
    <w:rsid w:val="00883139"/>
    <w:rsid w:val="0088705B"/>
    <w:rsid w:val="008874E6"/>
    <w:rsid w:val="00887E02"/>
    <w:rsid w:val="00890116"/>
    <w:rsid w:val="008907F6"/>
    <w:rsid w:val="00891B26"/>
    <w:rsid w:val="00895D58"/>
    <w:rsid w:val="00895EC4"/>
    <w:rsid w:val="0089605C"/>
    <w:rsid w:val="0089663B"/>
    <w:rsid w:val="008966A4"/>
    <w:rsid w:val="008A07B6"/>
    <w:rsid w:val="008A3E3F"/>
    <w:rsid w:val="008A6D90"/>
    <w:rsid w:val="008B142F"/>
    <w:rsid w:val="008B16C5"/>
    <w:rsid w:val="008B5719"/>
    <w:rsid w:val="008B6917"/>
    <w:rsid w:val="008C0DC5"/>
    <w:rsid w:val="008C2421"/>
    <w:rsid w:val="008C2809"/>
    <w:rsid w:val="008C3472"/>
    <w:rsid w:val="008C3CD5"/>
    <w:rsid w:val="008C4B79"/>
    <w:rsid w:val="008C63C9"/>
    <w:rsid w:val="008D2917"/>
    <w:rsid w:val="008D3381"/>
    <w:rsid w:val="008D7522"/>
    <w:rsid w:val="008D75ED"/>
    <w:rsid w:val="008E06F9"/>
    <w:rsid w:val="008E1705"/>
    <w:rsid w:val="008E48C5"/>
    <w:rsid w:val="008E6FB0"/>
    <w:rsid w:val="008E70D3"/>
    <w:rsid w:val="008F14B8"/>
    <w:rsid w:val="008F16ED"/>
    <w:rsid w:val="008F257F"/>
    <w:rsid w:val="008F3061"/>
    <w:rsid w:val="008F50A6"/>
    <w:rsid w:val="008F55F2"/>
    <w:rsid w:val="008F5D92"/>
    <w:rsid w:val="008F613F"/>
    <w:rsid w:val="008F6297"/>
    <w:rsid w:val="008F699F"/>
    <w:rsid w:val="008F6BC2"/>
    <w:rsid w:val="008F7F83"/>
    <w:rsid w:val="009006A4"/>
    <w:rsid w:val="0090119A"/>
    <w:rsid w:val="00903551"/>
    <w:rsid w:val="00904FD5"/>
    <w:rsid w:val="009053D4"/>
    <w:rsid w:val="009068D8"/>
    <w:rsid w:val="00906A43"/>
    <w:rsid w:val="00906CBC"/>
    <w:rsid w:val="00907B00"/>
    <w:rsid w:val="00910C1B"/>
    <w:rsid w:val="00910DBA"/>
    <w:rsid w:val="00910E2E"/>
    <w:rsid w:val="00911675"/>
    <w:rsid w:val="009116CF"/>
    <w:rsid w:val="0091419D"/>
    <w:rsid w:val="009175A2"/>
    <w:rsid w:val="00924589"/>
    <w:rsid w:val="00924883"/>
    <w:rsid w:val="00926D00"/>
    <w:rsid w:val="00931633"/>
    <w:rsid w:val="009317C7"/>
    <w:rsid w:val="009344FA"/>
    <w:rsid w:val="00935C76"/>
    <w:rsid w:val="00936078"/>
    <w:rsid w:val="0093706D"/>
    <w:rsid w:val="0094194A"/>
    <w:rsid w:val="00941FD5"/>
    <w:rsid w:val="00946106"/>
    <w:rsid w:val="00947FC1"/>
    <w:rsid w:val="009501D3"/>
    <w:rsid w:val="009568B5"/>
    <w:rsid w:val="009577FE"/>
    <w:rsid w:val="009603B0"/>
    <w:rsid w:val="00962DCA"/>
    <w:rsid w:val="00966FBB"/>
    <w:rsid w:val="00970246"/>
    <w:rsid w:val="00970E77"/>
    <w:rsid w:val="00971615"/>
    <w:rsid w:val="0097209E"/>
    <w:rsid w:val="009734CD"/>
    <w:rsid w:val="0097495C"/>
    <w:rsid w:val="0097581E"/>
    <w:rsid w:val="00975B19"/>
    <w:rsid w:val="0097671F"/>
    <w:rsid w:val="009818DB"/>
    <w:rsid w:val="009822FF"/>
    <w:rsid w:val="00982EFE"/>
    <w:rsid w:val="00986AF2"/>
    <w:rsid w:val="00991481"/>
    <w:rsid w:val="00991AB0"/>
    <w:rsid w:val="00991B95"/>
    <w:rsid w:val="00992001"/>
    <w:rsid w:val="009937C6"/>
    <w:rsid w:val="0099665D"/>
    <w:rsid w:val="00996B96"/>
    <w:rsid w:val="009A0103"/>
    <w:rsid w:val="009A05B3"/>
    <w:rsid w:val="009A0E66"/>
    <w:rsid w:val="009A132F"/>
    <w:rsid w:val="009A1792"/>
    <w:rsid w:val="009A1B68"/>
    <w:rsid w:val="009A256B"/>
    <w:rsid w:val="009A28DE"/>
    <w:rsid w:val="009A2CA9"/>
    <w:rsid w:val="009A2D5E"/>
    <w:rsid w:val="009A4360"/>
    <w:rsid w:val="009A4BF9"/>
    <w:rsid w:val="009B3B31"/>
    <w:rsid w:val="009B43B9"/>
    <w:rsid w:val="009B72E5"/>
    <w:rsid w:val="009C0154"/>
    <w:rsid w:val="009C171D"/>
    <w:rsid w:val="009C1C1B"/>
    <w:rsid w:val="009C3346"/>
    <w:rsid w:val="009C5886"/>
    <w:rsid w:val="009C7304"/>
    <w:rsid w:val="009C7B64"/>
    <w:rsid w:val="009C7B8F"/>
    <w:rsid w:val="009D1768"/>
    <w:rsid w:val="009D2AA1"/>
    <w:rsid w:val="009D3D26"/>
    <w:rsid w:val="009D54A8"/>
    <w:rsid w:val="009D5CF2"/>
    <w:rsid w:val="009D7B72"/>
    <w:rsid w:val="009E1538"/>
    <w:rsid w:val="009E416B"/>
    <w:rsid w:val="009E51AB"/>
    <w:rsid w:val="009E683B"/>
    <w:rsid w:val="009E6F1D"/>
    <w:rsid w:val="009E79E3"/>
    <w:rsid w:val="009E7C1B"/>
    <w:rsid w:val="009F3623"/>
    <w:rsid w:val="009F4E37"/>
    <w:rsid w:val="009F5C5F"/>
    <w:rsid w:val="009F5C70"/>
    <w:rsid w:val="009F7F99"/>
    <w:rsid w:val="00A00972"/>
    <w:rsid w:val="00A01A1D"/>
    <w:rsid w:val="00A04FF4"/>
    <w:rsid w:val="00A05692"/>
    <w:rsid w:val="00A05BF5"/>
    <w:rsid w:val="00A05F8D"/>
    <w:rsid w:val="00A06BC4"/>
    <w:rsid w:val="00A124BD"/>
    <w:rsid w:val="00A13FA1"/>
    <w:rsid w:val="00A14186"/>
    <w:rsid w:val="00A14F97"/>
    <w:rsid w:val="00A16F78"/>
    <w:rsid w:val="00A208E9"/>
    <w:rsid w:val="00A20C17"/>
    <w:rsid w:val="00A228FA"/>
    <w:rsid w:val="00A25443"/>
    <w:rsid w:val="00A25F95"/>
    <w:rsid w:val="00A26ECA"/>
    <w:rsid w:val="00A30489"/>
    <w:rsid w:val="00A30997"/>
    <w:rsid w:val="00A32CB4"/>
    <w:rsid w:val="00A3311B"/>
    <w:rsid w:val="00A337D3"/>
    <w:rsid w:val="00A3532D"/>
    <w:rsid w:val="00A3587A"/>
    <w:rsid w:val="00A36069"/>
    <w:rsid w:val="00A36AFB"/>
    <w:rsid w:val="00A37DFF"/>
    <w:rsid w:val="00A40161"/>
    <w:rsid w:val="00A40F4A"/>
    <w:rsid w:val="00A43B06"/>
    <w:rsid w:val="00A440DD"/>
    <w:rsid w:val="00A45943"/>
    <w:rsid w:val="00A460FC"/>
    <w:rsid w:val="00A464C8"/>
    <w:rsid w:val="00A46573"/>
    <w:rsid w:val="00A468F9"/>
    <w:rsid w:val="00A47620"/>
    <w:rsid w:val="00A511E8"/>
    <w:rsid w:val="00A51B76"/>
    <w:rsid w:val="00A53686"/>
    <w:rsid w:val="00A53A91"/>
    <w:rsid w:val="00A53AE9"/>
    <w:rsid w:val="00A55D83"/>
    <w:rsid w:val="00A56603"/>
    <w:rsid w:val="00A5682C"/>
    <w:rsid w:val="00A56A8C"/>
    <w:rsid w:val="00A57879"/>
    <w:rsid w:val="00A5796D"/>
    <w:rsid w:val="00A57BC5"/>
    <w:rsid w:val="00A6031A"/>
    <w:rsid w:val="00A60D38"/>
    <w:rsid w:val="00A6222F"/>
    <w:rsid w:val="00A6224D"/>
    <w:rsid w:val="00A64C8F"/>
    <w:rsid w:val="00A66C2E"/>
    <w:rsid w:val="00A6715D"/>
    <w:rsid w:val="00A72A84"/>
    <w:rsid w:val="00A754F6"/>
    <w:rsid w:val="00A76512"/>
    <w:rsid w:val="00A76FFC"/>
    <w:rsid w:val="00A77D77"/>
    <w:rsid w:val="00A80146"/>
    <w:rsid w:val="00A83057"/>
    <w:rsid w:val="00A84889"/>
    <w:rsid w:val="00A8493B"/>
    <w:rsid w:val="00A85347"/>
    <w:rsid w:val="00A85456"/>
    <w:rsid w:val="00A8613F"/>
    <w:rsid w:val="00A86DA2"/>
    <w:rsid w:val="00A87EAD"/>
    <w:rsid w:val="00A9010C"/>
    <w:rsid w:val="00A94987"/>
    <w:rsid w:val="00A97DBF"/>
    <w:rsid w:val="00AA006E"/>
    <w:rsid w:val="00AA02F6"/>
    <w:rsid w:val="00AA0999"/>
    <w:rsid w:val="00AA0E43"/>
    <w:rsid w:val="00AA1FBF"/>
    <w:rsid w:val="00AA241E"/>
    <w:rsid w:val="00AA3829"/>
    <w:rsid w:val="00AA4317"/>
    <w:rsid w:val="00AA4328"/>
    <w:rsid w:val="00AA52AC"/>
    <w:rsid w:val="00AA7157"/>
    <w:rsid w:val="00AA7BFC"/>
    <w:rsid w:val="00AB0A72"/>
    <w:rsid w:val="00AB34F3"/>
    <w:rsid w:val="00AB5D4B"/>
    <w:rsid w:val="00AB67B2"/>
    <w:rsid w:val="00AC00FD"/>
    <w:rsid w:val="00AC0248"/>
    <w:rsid w:val="00AC04EF"/>
    <w:rsid w:val="00AC3CC3"/>
    <w:rsid w:val="00AC4A1F"/>
    <w:rsid w:val="00AC4A52"/>
    <w:rsid w:val="00AC4C96"/>
    <w:rsid w:val="00AC51C7"/>
    <w:rsid w:val="00AC5CBA"/>
    <w:rsid w:val="00AC695B"/>
    <w:rsid w:val="00AC7B70"/>
    <w:rsid w:val="00AD16CE"/>
    <w:rsid w:val="00AD1B29"/>
    <w:rsid w:val="00AD1E06"/>
    <w:rsid w:val="00AD1F63"/>
    <w:rsid w:val="00AD22AE"/>
    <w:rsid w:val="00AD23A2"/>
    <w:rsid w:val="00AD2B64"/>
    <w:rsid w:val="00AD4E20"/>
    <w:rsid w:val="00AD58AA"/>
    <w:rsid w:val="00AD5D0B"/>
    <w:rsid w:val="00AD695B"/>
    <w:rsid w:val="00AD75A1"/>
    <w:rsid w:val="00AD7FCD"/>
    <w:rsid w:val="00AE02CD"/>
    <w:rsid w:val="00AE161D"/>
    <w:rsid w:val="00AE18F1"/>
    <w:rsid w:val="00AE24CA"/>
    <w:rsid w:val="00AE32A0"/>
    <w:rsid w:val="00AE39AA"/>
    <w:rsid w:val="00AE45F2"/>
    <w:rsid w:val="00AF1F09"/>
    <w:rsid w:val="00AF2663"/>
    <w:rsid w:val="00AF267D"/>
    <w:rsid w:val="00AF37BF"/>
    <w:rsid w:val="00AF3993"/>
    <w:rsid w:val="00AF6617"/>
    <w:rsid w:val="00AF671B"/>
    <w:rsid w:val="00AF6877"/>
    <w:rsid w:val="00AF6D45"/>
    <w:rsid w:val="00B0212A"/>
    <w:rsid w:val="00B02B3C"/>
    <w:rsid w:val="00B0327B"/>
    <w:rsid w:val="00B0338D"/>
    <w:rsid w:val="00B036AF"/>
    <w:rsid w:val="00B0398C"/>
    <w:rsid w:val="00B04B2B"/>
    <w:rsid w:val="00B05327"/>
    <w:rsid w:val="00B05FAA"/>
    <w:rsid w:val="00B07605"/>
    <w:rsid w:val="00B120F1"/>
    <w:rsid w:val="00B1259E"/>
    <w:rsid w:val="00B1593D"/>
    <w:rsid w:val="00B16DC9"/>
    <w:rsid w:val="00B17C12"/>
    <w:rsid w:val="00B2089D"/>
    <w:rsid w:val="00B21C19"/>
    <w:rsid w:val="00B21E83"/>
    <w:rsid w:val="00B23A67"/>
    <w:rsid w:val="00B25710"/>
    <w:rsid w:val="00B275B4"/>
    <w:rsid w:val="00B31311"/>
    <w:rsid w:val="00B31F8A"/>
    <w:rsid w:val="00B3293C"/>
    <w:rsid w:val="00B33AC0"/>
    <w:rsid w:val="00B363E0"/>
    <w:rsid w:val="00B37461"/>
    <w:rsid w:val="00B37889"/>
    <w:rsid w:val="00B41227"/>
    <w:rsid w:val="00B412CE"/>
    <w:rsid w:val="00B41375"/>
    <w:rsid w:val="00B41F4E"/>
    <w:rsid w:val="00B42720"/>
    <w:rsid w:val="00B42E36"/>
    <w:rsid w:val="00B432DC"/>
    <w:rsid w:val="00B434F3"/>
    <w:rsid w:val="00B44691"/>
    <w:rsid w:val="00B5064A"/>
    <w:rsid w:val="00B50E11"/>
    <w:rsid w:val="00B51988"/>
    <w:rsid w:val="00B51DFC"/>
    <w:rsid w:val="00B52658"/>
    <w:rsid w:val="00B52EF0"/>
    <w:rsid w:val="00B534E5"/>
    <w:rsid w:val="00B560A1"/>
    <w:rsid w:val="00B56DA9"/>
    <w:rsid w:val="00B60D41"/>
    <w:rsid w:val="00B6131A"/>
    <w:rsid w:val="00B613CA"/>
    <w:rsid w:val="00B618D2"/>
    <w:rsid w:val="00B65182"/>
    <w:rsid w:val="00B6518C"/>
    <w:rsid w:val="00B655F5"/>
    <w:rsid w:val="00B658A2"/>
    <w:rsid w:val="00B66400"/>
    <w:rsid w:val="00B67284"/>
    <w:rsid w:val="00B7079E"/>
    <w:rsid w:val="00B7458C"/>
    <w:rsid w:val="00B75890"/>
    <w:rsid w:val="00B75B50"/>
    <w:rsid w:val="00B75D2C"/>
    <w:rsid w:val="00B76398"/>
    <w:rsid w:val="00B77E85"/>
    <w:rsid w:val="00B80A6A"/>
    <w:rsid w:val="00B81B41"/>
    <w:rsid w:val="00B82AA4"/>
    <w:rsid w:val="00B84F82"/>
    <w:rsid w:val="00B84FF1"/>
    <w:rsid w:val="00B850A1"/>
    <w:rsid w:val="00B87216"/>
    <w:rsid w:val="00B90BFC"/>
    <w:rsid w:val="00B92233"/>
    <w:rsid w:val="00B92493"/>
    <w:rsid w:val="00B92A5A"/>
    <w:rsid w:val="00B93019"/>
    <w:rsid w:val="00B94873"/>
    <w:rsid w:val="00B948E6"/>
    <w:rsid w:val="00B94AB8"/>
    <w:rsid w:val="00B95A53"/>
    <w:rsid w:val="00B95FC9"/>
    <w:rsid w:val="00B961B7"/>
    <w:rsid w:val="00B97383"/>
    <w:rsid w:val="00B97887"/>
    <w:rsid w:val="00B97C25"/>
    <w:rsid w:val="00BA0405"/>
    <w:rsid w:val="00BA095D"/>
    <w:rsid w:val="00BA2B05"/>
    <w:rsid w:val="00BA2B27"/>
    <w:rsid w:val="00BA5377"/>
    <w:rsid w:val="00BA7BF9"/>
    <w:rsid w:val="00BB42B6"/>
    <w:rsid w:val="00BB4B0A"/>
    <w:rsid w:val="00BB5575"/>
    <w:rsid w:val="00BB5D91"/>
    <w:rsid w:val="00BB5EF6"/>
    <w:rsid w:val="00BB6C00"/>
    <w:rsid w:val="00BC5092"/>
    <w:rsid w:val="00BC58A8"/>
    <w:rsid w:val="00BC63A6"/>
    <w:rsid w:val="00BC6612"/>
    <w:rsid w:val="00BC7FC1"/>
    <w:rsid w:val="00BD3306"/>
    <w:rsid w:val="00BD4BA6"/>
    <w:rsid w:val="00BE0CC5"/>
    <w:rsid w:val="00BE16B7"/>
    <w:rsid w:val="00BE1BDE"/>
    <w:rsid w:val="00BE2957"/>
    <w:rsid w:val="00BE38B2"/>
    <w:rsid w:val="00BE403F"/>
    <w:rsid w:val="00BE4984"/>
    <w:rsid w:val="00BE66C1"/>
    <w:rsid w:val="00BF521E"/>
    <w:rsid w:val="00BF5461"/>
    <w:rsid w:val="00BF55CC"/>
    <w:rsid w:val="00BF5A3B"/>
    <w:rsid w:val="00BF6293"/>
    <w:rsid w:val="00BF755E"/>
    <w:rsid w:val="00C016DC"/>
    <w:rsid w:val="00C03681"/>
    <w:rsid w:val="00C04080"/>
    <w:rsid w:val="00C0458E"/>
    <w:rsid w:val="00C04969"/>
    <w:rsid w:val="00C04B19"/>
    <w:rsid w:val="00C063AA"/>
    <w:rsid w:val="00C073B8"/>
    <w:rsid w:val="00C07BA8"/>
    <w:rsid w:val="00C07D21"/>
    <w:rsid w:val="00C10502"/>
    <w:rsid w:val="00C10951"/>
    <w:rsid w:val="00C11A46"/>
    <w:rsid w:val="00C12135"/>
    <w:rsid w:val="00C124B9"/>
    <w:rsid w:val="00C137BF"/>
    <w:rsid w:val="00C14A0A"/>
    <w:rsid w:val="00C14D05"/>
    <w:rsid w:val="00C15CFA"/>
    <w:rsid w:val="00C1700F"/>
    <w:rsid w:val="00C17340"/>
    <w:rsid w:val="00C1777A"/>
    <w:rsid w:val="00C20D32"/>
    <w:rsid w:val="00C21D92"/>
    <w:rsid w:val="00C230AC"/>
    <w:rsid w:val="00C23A13"/>
    <w:rsid w:val="00C308F4"/>
    <w:rsid w:val="00C315B4"/>
    <w:rsid w:val="00C315F9"/>
    <w:rsid w:val="00C31D67"/>
    <w:rsid w:val="00C33D77"/>
    <w:rsid w:val="00C41695"/>
    <w:rsid w:val="00C434F8"/>
    <w:rsid w:val="00C46958"/>
    <w:rsid w:val="00C47238"/>
    <w:rsid w:val="00C472BE"/>
    <w:rsid w:val="00C50050"/>
    <w:rsid w:val="00C50CB0"/>
    <w:rsid w:val="00C52789"/>
    <w:rsid w:val="00C52AFB"/>
    <w:rsid w:val="00C55B6D"/>
    <w:rsid w:val="00C56492"/>
    <w:rsid w:val="00C57E7B"/>
    <w:rsid w:val="00C60082"/>
    <w:rsid w:val="00C60299"/>
    <w:rsid w:val="00C614A6"/>
    <w:rsid w:val="00C616D9"/>
    <w:rsid w:val="00C627FE"/>
    <w:rsid w:val="00C630B8"/>
    <w:rsid w:val="00C642DA"/>
    <w:rsid w:val="00C67852"/>
    <w:rsid w:val="00C67A29"/>
    <w:rsid w:val="00C70F92"/>
    <w:rsid w:val="00C72BE0"/>
    <w:rsid w:val="00C74E19"/>
    <w:rsid w:val="00C75345"/>
    <w:rsid w:val="00C75940"/>
    <w:rsid w:val="00C75C98"/>
    <w:rsid w:val="00C75CA9"/>
    <w:rsid w:val="00C75FD8"/>
    <w:rsid w:val="00C76DDA"/>
    <w:rsid w:val="00C77205"/>
    <w:rsid w:val="00C80E68"/>
    <w:rsid w:val="00C80F79"/>
    <w:rsid w:val="00C82228"/>
    <w:rsid w:val="00C833C3"/>
    <w:rsid w:val="00C84FD5"/>
    <w:rsid w:val="00C85A62"/>
    <w:rsid w:val="00C86149"/>
    <w:rsid w:val="00C86364"/>
    <w:rsid w:val="00C9095F"/>
    <w:rsid w:val="00C91075"/>
    <w:rsid w:val="00C9127D"/>
    <w:rsid w:val="00C92FB9"/>
    <w:rsid w:val="00C93AED"/>
    <w:rsid w:val="00C948D0"/>
    <w:rsid w:val="00C97934"/>
    <w:rsid w:val="00CA00C8"/>
    <w:rsid w:val="00CA19DE"/>
    <w:rsid w:val="00CA2480"/>
    <w:rsid w:val="00CA3324"/>
    <w:rsid w:val="00CA7E03"/>
    <w:rsid w:val="00CB275E"/>
    <w:rsid w:val="00CB3846"/>
    <w:rsid w:val="00CB5B35"/>
    <w:rsid w:val="00CB677F"/>
    <w:rsid w:val="00CC13C5"/>
    <w:rsid w:val="00CC14A4"/>
    <w:rsid w:val="00CC1A6B"/>
    <w:rsid w:val="00CC26C4"/>
    <w:rsid w:val="00CC2C36"/>
    <w:rsid w:val="00CC43A8"/>
    <w:rsid w:val="00CC6639"/>
    <w:rsid w:val="00CC74A4"/>
    <w:rsid w:val="00CC7C2D"/>
    <w:rsid w:val="00CD08FB"/>
    <w:rsid w:val="00CD4613"/>
    <w:rsid w:val="00CD5834"/>
    <w:rsid w:val="00CD66AE"/>
    <w:rsid w:val="00CD66CF"/>
    <w:rsid w:val="00CD67FA"/>
    <w:rsid w:val="00CD68DF"/>
    <w:rsid w:val="00CD75CC"/>
    <w:rsid w:val="00CE2643"/>
    <w:rsid w:val="00CE329A"/>
    <w:rsid w:val="00CE5D26"/>
    <w:rsid w:val="00CE6144"/>
    <w:rsid w:val="00CE7A71"/>
    <w:rsid w:val="00CF1058"/>
    <w:rsid w:val="00CF41B1"/>
    <w:rsid w:val="00CF4B39"/>
    <w:rsid w:val="00CF6492"/>
    <w:rsid w:val="00CF654D"/>
    <w:rsid w:val="00D03648"/>
    <w:rsid w:val="00D04031"/>
    <w:rsid w:val="00D041D1"/>
    <w:rsid w:val="00D0766F"/>
    <w:rsid w:val="00D11798"/>
    <w:rsid w:val="00D11DB0"/>
    <w:rsid w:val="00D12E75"/>
    <w:rsid w:val="00D1480B"/>
    <w:rsid w:val="00D14943"/>
    <w:rsid w:val="00D15DFF"/>
    <w:rsid w:val="00D15FBB"/>
    <w:rsid w:val="00D168E9"/>
    <w:rsid w:val="00D16C9F"/>
    <w:rsid w:val="00D17B64"/>
    <w:rsid w:val="00D20CD4"/>
    <w:rsid w:val="00D21480"/>
    <w:rsid w:val="00D21B87"/>
    <w:rsid w:val="00D25895"/>
    <w:rsid w:val="00D25E0B"/>
    <w:rsid w:val="00D262A7"/>
    <w:rsid w:val="00D27C03"/>
    <w:rsid w:val="00D27D0E"/>
    <w:rsid w:val="00D27F5C"/>
    <w:rsid w:val="00D30720"/>
    <w:rsid w:val="00D34D73"/>
    <w:rsid w:val="00D35BE0"/>
    <w:rsid w:val="00D36D36"/>
    <w:rsid w:val="00D378DC"/>
    <w:rsid w:val="00D40D74"/>
    <w:rsid w:val="00D410CB"/>
    <w:rsid w:val="00D41F84"/>
    <w:rsid w:val="00D42542"/>
    <w:rsid w:val="00D4431C"/>
    <w:rsid w:val="00D443C3"/>
    <w:rsid w:val="00D44CB2"/>
    <w:rsid w:val="00D47642"/>
    <w:rsid w:val="00D55DF0"/>
    <w:rsid w:val="00D5604A"/>
    <w:rsid w:val="00D5739D"/>
    <w:rsid w:val="00D57EDB"/>
    <w:rsid w:val="00D62DEF"/>
    <w:rsid w:val="00D62E6B"/>
    <w:rsid w:val="00D65B49"/>
    <w:rsid w:val="00D65D84"/>
    <w:rsid w:val="00D66381"/>
    <w:rsid w:val="00D72A79"/>
    <w:rsid w:val="00D74B03"/>
    <w:rsid w:val="00D75D2A"/>
    <w:rsid w:val="00D769CE"/>
    <w:rsid w:val="00D76B29"/>
    <w:rsid w:val="00D818AC"/>
    <w:rsid w:val="00D8244C"/>
    <w:rsid w:val="00D82C76"/>
    <w:rsid w:val="00D82FF8"/>
    <w:rsid w:val="00D84831"/>
    <w:rsid w:val="00D84AE1"/>
    <w:rsid w:val="00D84D3F"/>
    <w:rsid w:val="00D8720D"/>
    <w:rsid w:val="00D919F3"/>
    <w:rsid w:val="00D91FDA"/>
    <w:rsid w:val="00D92776"/>
    <w:rsid w:val="00D92905"/>
    <w:rsid w:val="00D94B45"/>
    <w:rsid w:val="00D96375"/>
    <w:rsid w:val="00D96B29"/>
    <w:rsid w:val="00D97C8C"/>
    <w:rsid w:val="00DA1599"/>
    <w:rsid w:val="00DA1F87"/>
    <w:rsid w:val="00DA58EF"/>
    <w:rsid w:val="00DA59C2"/>
    <w:rsid w:val="00DB5292"/>
    <w:rsid w:val="00DB5FC6"/>
    <w:rsid w:val="00DB6CA1"/>
    <w:rsid w:val="00DB7A88"/>
    <w:rsid w:val="00DB7B7B"/>
    <w:rsid w:val="00DB7E09"/>
    <w:rsid w:val="00DC09AC"/>
    <w:rsid w:val="00DC0AC0"/>
    <w:rsid w:val="00DC267A"/>
    <w:rsid w:val="00DC276C"/>
    <w:rsid w:val="00DC3CB5"/>
    <w:rsid w:val="00DC5112"/>
    <w:rsid w:val="00DC6876"/>
    <w:rsid w:val="00DC7851"/>
    <w:rsid w:val="00DC7A25"/>
    <w:rsid w:val="00DD01E2"/>
    <w:rsid w:val="00DD20E0"/>
    <w:rsid w:val="00DD3345"/>
    <w:rsid w:val="00DD57B8"/>
    <w:rsid w:val="00DD5B39"/>
    <w:rsid w:val="00DE3282"/>
    <w:rsid w:val="00DE3325"/>
    <w:rsid w:val="00DE3E38"/>
    <w:rsid w:val="00DE56A0"/>
    <w:rsid w:val="00DE6E32"/>
    <w:rsid w:val="00DE7009"/>
    <w:rsid w:val="00DE785B"/>
    <w:rsid w:val="00DE7DAA"/>
    <w:rsid w:val="00DF1EA3"/>
    <w:rsid w:val="00DF40FA"/>
    <w:rsid w:val="00DF4654"/>
    <w:rsid w:val="00DF5E1D"/>
    <w:rsid w:val="00DF710F"/>
    <w:rsid w:val="00DF76D1"/>
    <w:rsid w:val="00E0042E"/>
    <w:rsid w:val="00E00931"/>
    <w:rsid w:val="00E01C7B"/>
    <w:rsid w:val="00E03E97"/>
    <w:rsid w:val="00E057A5"/>
    <w:rsid w:val="00E057B4"/>
    <w:rsid w:val="00E067A5"/>
    <w:rsid w:val="00E06F63"/>
    <w:rsid w:val="00E10509"/>
    <w:rsid w:val="00E10FC9"/>
    <w:rsid w:val="00E12BA0"/>
    <w:rsid w:val="00E12E58"/>
    <w:rsid w:val="00E149B4"/>
    <w:rsid w:val="00E14CE9"/>
    <w:rsid w:val="00E14EB7"/>
    <w:rsid w:val="00E157EF"/>
    <w:rsid w:val="00E205B9"/>
    <w:rsid w:val="00E21387"/>
    <w:rsid w:val="00E21B0F"/>
    <w:rsid w:val="00E2206A"/>
    <w:rsid w:val="00E23216"/>
    <w:rsid w:val="00E24BE5"/>
    <w:rsid w:val="00E25E62"/>
    <w:rsid w:val="00E25E99"/>
    <w:rsid w:val="00E25F21"/>
    <w:rsid w:val="00E275F6"/>
    <w:rsid w:val="00E323A4"/>
    <w:rsid w:val="00E3499A"/>
    <w:rsid w:val="00E36ECD"/>
    <w:rsid w:val="00E4174D"/>
    <w:rsid w:val="00E41E00"/>
    <w:rsid w:val="00E41FC0"/>
    <w:rsid w:val="00E420DC"/>
    <w:rsid w:val="00E44086"/>
    <w:rsid w:val="00E44EC6"/>
    <w:rsid w:val="00E4520E"/>
    <w:rsid w:val="00E46F42"/>
    <w:rsid w:val="00E47B4C"/>
    <w:rsid w:val="00E50F3D"/>
    <w:rsid w:val="00E51821"/>
    <w:rsid w:val="00E52D08"/>
    <w:rsid w:val="00E53473"/>
    <w:rsid w:val="00E55A60"/>
    <w:rsid w:val="00E55AA8"/>
    <w:rsid w:val="00E5617A"/>
    <w:rsid w:val="00E5676C"/>
    <w:rsid w:val="00E56B75"/>
    <w:rsid w:val="00E573E5"/>
    <w:rsid w:val="00E57B5D"/>
    <w:rsid w:val="00E604B5"/>
    <w:rsid w:val="00E6146B"/>
    <w:rsid w:val="00E61E3D"/>
    <w:rsid w:val="00E64C33"/>
    <w:rsid w:val="00E7064E"/>
    <w:rsid w:val="00E70731"/>
    <w:rsid w:val="00E71757"/>
    <w:rsid w:val="00E722D5"/>
    <w:rsid w:val="00E73C92"/>
    <w:rsid w:val="00E74C6F"/>
    <w:rsid w:val="00E76BE3"/>
    <w:rsid w:val="00E7708D"/>
    <w:rsid w:val="00E809A6"/>
    <w:rsid w:val="00E8182E"/>
    <w:rsid w:val="00E81CA5"/>
    <w:rsid w:val="00E8283E"/>
    <w:rsid w:val="00E828CB"/>
    <w:rsid w:val="00E862E6"/>
    <w:rsid w:val="00E87462"/>
    <w:rsid w:val="00E912E3"/>
    <w:rsid w:val="00E935D8"/>
    <w:rsid w:val="00E9496B"/>
    <w:rsid w:val="00E97431"/>
    <w:rsid w:val="00EA0AE0"/>
    <w:rsid w:val="00EA0CE7"/>
    <w:rsid w:val="00EA1741"/>
    <w:rsid w:val="00EA31E8"/>
    <w:rsid w:val="00EA50F9"/>
    <w:rsid w:val="00EA7D08"/>
    <w:rsid w:val="00EA7D0A"/>
    <w:rsid w:val="00EB1BC8"/>
    <w:rsid w:val="00EB22FD"/>
    <w:rsid w:val="00EB2370"/>
    <w:rsid w:val="00EB2A38"/>
    <w:rsid w:val="00EB3397"/>
    <w:rsid w:val="00EB36C7"/>
    <w:rsid w:val="00EB3ABC"/>
    <w:rsid w:val="00EB49C7"/>
    <w:rsid w:val="00EB5F12"/>
    <w:rsid w:val="00EC0506"/>
    <w:rsid w:val="00EC15C3"/>
    <w:rsid w:val="00EC3F4A"/>
    <w:rsid w:val="00EC5EF7"/>
    <w:rsid w:val="00EC7D7C"/>
    <w:rsid w:val="00ED26B3"/>
    <w:rsid w:val="00ED40FA"/>
    <w:rsid w:val="00EE0404"/>
    <w:rsid w:val="00EE2029"/>
    <w:rsid w:val="00EE3B6C"/>
    <w:rsid w:val="00EE4105"/>
    <w:rsid w:val="00EE4922"/>
    <w:rsid w:val="00EE4FDE"/>
    <w:rsid w:val="00EE524B"/>
    <w:rsid w:val="00EE6D54"/>
    <w:rsid w:val="00EE7110"/>
    <w:rsid w:val="00EE787F"/>
    <w:rsid w:val="00EF05D8"/>
    <w:rsid w:val="00EF3E3C"/>
    <w:rsid w:val="00EF510D"/>
    <w:rsid w:val="00EF6286"/>
    <w:rsid w:val="00EF68A3"/>
    <w:rsid w:val="00EF6EB4"/>
    <w:rsid w:val="00EF7FE2"/>
    <w:rsid w:val="00F015F8"/>
    <w:rsid w:val="00F0209F"/>
    <w:rsid w:val="00F0728B"/>
    <w:rsid w:val="00F07A51"/>
    <w:rsid w:val="00F1085E"/>
    <w:rsid w:val="00F10B44"/>
    <w:rsid w:val="00F11F44"/>
    <w:rsid w:val="00F14D6C"/>
    <w:rsid w:val="00F15EC6"/>
    <w:rsid w:val="00F172E6"/>
    <w:rsid w:val="00F1780E"/>
    <w:rsid w:val="00F2141B"/>
    <w:rsid w:val="00F215F8"/>
    <w:rsid w:val="00F2365A"/>
    <w:rsid w:val="00F25547"/>
    <w:rsid w:val="00F26558"/>
    <w:rsid w:val="00F27FEF"/>
    <w:rsid w:val="00F3121D"/>
    <w:rsid w:val="00F313EB"/>
    <w:rsid w:val="00F31764"/>
    <w:rsid w:val="00F31EB5"/>
    <w:rsid w:val="00F338ED"/>
    <w:rsid w:val="00F36530"/>
    <w:rsid w:val="00F36855"/>
    <w:rsid w:val="00F37228"/>
    <w:rsid w:val="00F37933"/>
    <w:rsid w:val="00F40798"/>
    <w:rsid w:val="00F40844"/>
    <w:rsid w:val="00F42267"/>
    <w:rsid w:val="00F43103"/>
    <w:rsid w:val="00F43EAB"/>
    <w:rsid w:val="00F44639"/>
    <w:rsid w:val="00F45190"/>
    <w:rsid w:val="00F511D7"/>
    <w:rsid w:val="00F520FC"/>
    <w:rsid w:val="00F5561D"/>
    <w:rsid w:val="00F6026C"/>
    <w:rsid w:val="00F63C27"/>
    <w:rsid w:val="00F648CF"/>
    <w:rsid w:val="00F661A7"/>
    <w:rsid w:val="00F66EC5"/>
    <w:rsid w:val="00F7051C"/>
    <w:rsid w:val="00F71C5F"/>
    <w:rsid w:val="00F74083"/>
    <w:rsid w:val="00F7618A"/>
    <w:rsid w:val="00F77DE5"/>
    <w:rsid w:val="00F8043D"/>
    <w:rsid w:val="00F81592"/>
    <w:rsid w:val="00F82211"/>
    <w:rsid w:val="00F82429"/>
    <w:rsid w:val="00F82A56"/>
    <w:rsid w:val="00F83FC1"/>
    <w:rsid w:val="00F8526C"/>
    <w:rsid w:val="00F857BF"/>
    <w:rsid w:val="00F85912"/>
    <w:rsid w:val="00F861D8"/>
    <w:rsid w:val="00F90C3B"/>
    <w:rsid w:val="00F91B1D"/>
    <w:rsid w:val="00F9286C"/>
    <w:rsid w:val="00F92FE0"/>
    <w:rsid w:val="00F93332"/>
    <w:rsid w:val="00F93482"/>
    <w:rsid w:val="00F972E7"/>
    <w:rsid w:val="00FA47A1"/>
    <w:rsid w:val="00FA4D3F"/>
    <w:rsid w:val="00FA4E11"/>
    <w:rsid w:val="00FA5F88"/>
    <w:rsid w:val="00FA62F4"/>
    <w:rsid w:val="00FA6881"/>
    <w:rsid w:val="00FA6C78"/>
    <w:rsid w:val="00FB0225"/>
    <w:rsid w:val="00FB2648"/>
    <w:rsid w:val="00FB2A60"/>
    <w:rsid w:val="00FB3D5A"/>
    <w:rsid w:val="00FB5128"/>
    <w:rsid w:val="00FB5653"/>
    <w:rsid w:val="00FB6CA4"/>
    <w:rsid w:val="00FC1018"/>
    <w:rsid w:val="00FC15E2"/>
    <w:rsid w:val="00FC1E33"/>
    <w:rsid w:val="00FC25AD"/>
    <w:rsid w:val="00FC57B1"/>
    <w:rsid w:val="00FC63E4"/>
    <w:rsid w:val="00FC6BDE"/>
    <w:rsid w:val="00FC70CC"/>
    <w:rsid w:val="00FD1092"/>
    <w:rsid w:val="00FD2584"/>
    <w:rsid w:val="00FD32D4"/>
    <w:rsid w:val="00FD3F43"/>
    <w:rsid w:val="00FD4F11"/>
    <w:rsid w:val="00FD79A1"/>
    <w:rsid w:val="00FE0923"/>
    <w:rsid w:val="00FE0D13"/>
    <w:rsid w:val="00FE30A8"/>
    <w:rsid w:val="00FE52EC"/>
    <w:rsid w:val="00FE6591"/>
    <w:rsid w:val="00FE668C"/>
    <w:rsid w:val="00FE6FF6"/>
    <w:rsid w:val="00FE70F9"/>
    <w:rsid w:val="00FE7B54"/>
    <w:rsid w:val="00FE7F5D"/>
    <w:rsid w:val="00FF290E"/>
    <w:rsid w:val="00FF3879"/>
    <w:rsid w:val="00FF4341"/>
    <w:rsid w:val="00FF449D"/>
    <w:rsid w:val="00FF49B8"/>
    <w:rsid w:val="00FF550C"/>
    <w:rsid w:val="00FF72E4"/>
    <w:rsid w:val="00FF7971"/>
    <w:rsid w:val="02C64012"/>
    <w:rsid w:val="03963560"/>
    <w:rsid w:val="07022D5C"/>
    <w:rsid w:val="08160484"/>
    <w:rsid w:val="084E38CD"/>
    <w:rsid w:val="0A7D1D0D"/>
    <w:rsid w:val="0AA44246"/>
    <w:rsid w:val="0D9573CA"/>
    <w:rsid w:val="10F7740E"/>
    <w:rsid w:val="1245720E"/>
    <w:rsid w:val="12CC7B35"/>
    <w:rsid w:val="12FB52C2"/>
    <w:rsid w:val="130D0562"/>
    <w:rsid w:val="15327DAB"/>
    <w:rsid w:val="15FE3611"/>
    <w:rsid w:val="177C1C46"/>
    <w:rsid w:val="196744BB"/>
    <w:rsid w:val="1A3A6B3E"/>
    <w:rsid w:val="1B134161"/>
    <w:rsid w:val="1B7B5298"/>
    <w:rsid w:val="1C9E17BE"/>
    <w:rsid w:val="1E464178"/>
    <w:rsid w:val="1FEC4E05"/>
    <w:rsid w:val="23123D88"/>
    <w:rsid w:val="23365093"/>
    <w:rsid w:val="249D04F5"/>
    <w:rsid w:val="2501684D"/>
    <w:rsid w:val="257759B0"/>
    <w:rsid w:val="279E2C36"/>
    <w:rsid w:val="291C3453"/>
    <w:rsid w:val="2C9B5FAA"/>
    <w:rsid w:val="2CBA0C1F"/>
    <w:rsid w:val="2EB5557B"/>
    <w:rsid w:val="2FB466BD"/>
    <w:rsid w:val="32EB7682"/>
    <w:rsid w:val="37415C4C"/>
    <w:rsid w:val="38100BF6"/>
    <w:rsid w:val="3A014F76"/>
    <w:rsid w:val="3BBE0367"/>
    <w:rsid w:val="3F7D63E1"/>
    <w:rsid w:val="44CD166C"/>
    <w:rsid w:val="47F0408A"/>
    <w:rsid w:val="50A04286"/>
    <w:rsid w:val="544F182F"/>
    <w:rsid w:val="54500D34"/>
    <w:rsid w:val="56D467CC"/>
    <w:rsid w:val="56EB4BEE"/>
    <w:rsid w:val="59F41A57"/>
    <w:rsid w:val="5D226A2D"/>
    <w:rsid w:val="5D614ECF"/>
    <w:rsid w:val="5F2D30A4"/>
    <w:rsid w:val="602B7807"/>
    <w:rsid w:val="620550F1"/>
    <w:rsid w:val="628E4035"/>
    <w:rsid w:val="633378A7"/>
    <w:rsid w:val="646A2D03"/>
    <w:rsid w:val="65281B16"/>
    <w:rsid w:val="65BC3AB8"/>
    <w:rsid w:val="66B33438"/>
    <w:rsid w:val="66DA47A3"/>
    <w:rsid w:val="68165B9F"/>
    <w:rsid w:val="6873723D"/>
    <w:rsid w:val="6D5C0F7E"/>
    <w:rsid w:val="6D6205DE"/>
    <w:rsid w:val="71796B70"/>
    <w:rsid w:val="737764FF"/>
    <w:rsid w:val="76C576BE"/>
    <w:rsid w:val="785F4E99"/>
    <w:rsid w:val="795B09AF"/>
    <w:rsid w:val="79963C1C"/>
    <w:rsid w:val="79B02469"/>
    <w:rsid w:val="7E6D79B2"/>
    <w:rsid w:val="7F3A07DA"/>
    <w:rsid w:val="7F4E551F"/>
    <w:rsid w:val="7FB32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30"/>
    <w:qFormat/>
    <w:uiPriority w:val="0"/>
    <w:pPr>
      <w:autoSpaceDE w:val="0"/>
      <w:autoSpaceDN w:val="0"/>
      <w:adjustRightInd w:val="0"/>
      <w:spacing w:before="16"/>
      <w:jc w:val="left"/>
      <w:outlineLvl w:val="2"/>
    </w:pPr>
    <w:rPr>
      <w:rFonts w:ascii="仿宋_GB2312" w:eastAsia="仿宋_GB2312"/>
      <w:b/>
      <w:sz w:val="24"/>
      <w:szCs w:val="28"/>
    </w:rPr>
  </w:style>
  <w:style w:type="paragraph" w:styleId="6">
    <w:name w:val="heading 9"/>
    <w:basedOn w:val="1"/>
    <w:next w:val="1"/>
    <w:link w:val="31"/>
    <w:unhideWhenUsed/>
    <w:qFormat/>
    <w:uiPriority w:val="0"/>
    <w:pPr>
      <w:keepNext/>
      <w:keepLines/>
      <w:spacing w:before="240" w:after="64" w:line="320" w:lineRule="auto"/>
      <w:outlineLvl w:val="8"/>
    </w:pPr>
    <w:rPr>
      <w:rFonts w:ascii="Cambria" w:hAnsi="Cambria"/>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sz w:val="28"/>
    </w:rPr>
  </w:style>
  <w:style w:type="paragraph" w:styleId="7">
    <w:name w:val="Normal Indent"/>
    <w:basedOn w:val="1"/>
    <w:qFormat/>
    <w:uiPriority w:val="0"/>
    <w:pPr>
      <w:autoSpaceDE w:val="0"/>
      <w:autoSpaceDN w:val="0"/>
      <w:adjustRightInd w:val="0"/>
      <w:ind w:firstLine="420" w:firstLineChars="200"/>
      <w:jc w:val="left"/>
    </w:pPr>
    <w:rPr>
      <w:rFonts w:ascii="宋体"/>
      <w:kern w:val="0"/>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32"/>
    <w:qFormat/>
    <w:uiPriority w:val="99"/>
    <w:pPr>
      <w:jc w:val="left"/>
    </w:pPr>
  </w:style>
  <w:style w:type="paragraph" w:styleId="10">
    <w:name w:val="Body Text Indent"/>
    <w:basedOn w:val="1"/>
    <w:qFormat/>
    <w:uiPriority w:val="0"/>
    <w:pPr>
      <w:ind w:firstLine="568" w:firstLineChars="203"/>
    </w:pPr>
    <w:rPr>
      <w:rFonts w:ascii="宋体" w:hAnsi="宋体"/>
      <w:sz w:val="28"/>
      <w:szCs w:val="28"/>
    </w:rPr>
  </w:style>
  <w:style w:type="paragraph" w:styleId="11">
    <w:name w:val="Plain Text"/>
    <w:basedOn w:val="1"/>
    <w:qFormat/>
    <w:uiPriority w:val="0"/>
    <w:rPr>
      <w:rFonts w:ascii="宋体" w:hAnsi="Courier New"/>
    </w:rPr>
  </w:style>
  <w:style w:type="paragraph" w:styleId="12">
    <w:name w:val="Date"/>
    <w:basedOn w:val="1"/>
    <w:next w:val="1"/>
    <w:qFormat/>
    <w:uiPriority w:val="0"/>
    <w:pPr>
      <w:widowControl/>
    </w:pPr>
    <w:rPr>
      <w:rFonts w:hint="eastAsia" w:ascii="仿宋_GB2312" w:hAnsi="宋体" w:eastAsia="仿宋_GB2312"/>
      <w:kern w:val="0"/>
      <w:sz w:val="28"/>
      <w:szCs w:val="28"/>
    </w:rPr>
  </w:style>
  <w:style w:type="paragraph" w:styleId="13">
    <w:name w:val="Body Text Indent 2"/>
    <w:basedOn w:val="1"/>
    <w:link w:val="33"/>
    <w:unhideWhenUsed/>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link w:val="34"/>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jc w:val="center"/>
    </w:pPr>
    <w:rPr>
      <w:rFonts w:ascii="仿宋_GB2312" w:eastAsia="仿宋_GB2312"/>
      <w:sz w:val="28"/>
      <w:szCs w:val="28"/>
    </w:rPr>
  </w:style>
  <w:style w:type="paragraph" w:styleId="18">
    <w:name w:val="Body Text Indent 3"/>
    <w:basedOn w:val="1"/>
    <w:qFormat/>
    <w:uiPriority w:val="0"/>
    <w:pPr>
      <w:adjustRightInd w:val="0"/>
      <w:snapToGrid w:val="0"/>
      <w:spacing w:line="560" w:lineRule="atLeast"/>
      <w:ind w:firstLine="560" w:firstLineChars="200"/>
    </w:pPr>
    <w:rPr>
      <w:rFonts w:hint="eastAsia" w:ascii="宋体" w:hAnsi="宋体"/>
      <w:sz w:val="28"/>
    </w:rPr>
  </w:style>
  <w:style w:type="paragraph" w:styleId="19">
    <w:name w:val="List Continue 2"/>
    <w:basedOn w:val="1"/>
    <w:qFormat/>
    <w:uiPriority w:val="0"/>
    <w:pPr>
      <w:adjustRightInd w:val="0"/>
      <w:spacing w:after="120" w:line="312" w:lineRule="atLeast"/>
      <w:ind w:left="840" w:leftChars="400"/>
      <w:textAlignment w:val="baseline"/>
    </w:pPr>
    <w:rPr>
      <w:kern w:val="0"/>
      <w:szCs w:val="20"/>
    </w:rPr>
  </w:style>
  <w:style w:type="paragraph" w:styleId="20">
    <w:name w:val="Title"/>
    <w:basedOn w:val="1"/>
    <w:next w:val="1"/>
    <w:link w:val="36"/>
    <w:qFormat/>
    <w:uiPriority w:val="0"/>
    <w:pPr>
      <w:spacing w:before="240" w:after="60"/>
      <w:jc w:val="center"/>
      <w:outlineLvl w:val="0"/>
    </w:pPr>
    <w:rPr>
      <w:rFonts w:ascii="Cambria" w:hAnsi="Cambria"/>
      <w:b/>
      <w:bCs/>
      <w:sz w:val="32"/>
      <w:szCs w:val="32"/>
    </w:rPr>
  </w:style>
  <w:style w:type="paragraph" w:styleId="21">
    <w:name w:val="annotation subject"/>
    <w:basedOn w:val="9"/>
    <w:next w:val="9"/>
    <w:link w:val="37"/>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FollowedHyperlink"/>
    <w:qFormat/>
    <w:uiPriority w:val="0"/>
    <w:rPr>
      <w:color w:val="0000FF"/>
      <w:u w:val="single"/>
    </w:rPr>
  </w:style>
  <w:style w:type="character" w:styleId="27">
    <w:name w:val="Hyperlink"/>
    <w:qFormat/>
    <w:uiPriority w:val="99"/>
    <w:rPr>
      <w:color w:val="0000FF"/>
      <w:u w:val="single"/>
    </w:rPr>
  </w:style>
  <w:style w:type="character" w:styleId="28">
    <w:name w:val="annotation reference"/>
    <w:qFormat/>
    <w:uiPriority w:val="99"/>
    <w:rPr>
      <w:sz w:val="21"/>
      <w:szCs w:val="21"/>
    </w:rPr>
  </w:style>
  <w:style w:type="paragraph" w:customStyle="1" w:styleId="29">
    <w:name w:val="无间隔1"/>
    <w:qFormat/>
    <w:uiPriority w:val="99"/>
    <w:pPr>
      <w:widowControl w:val="0"/>
      <w:jc w:val="both"/>
    </w:pPr>
    <w:rPr>
      <w:rFonts w:ascii="Times New Roman" w:hAnsi="Times New Roman" w:eastAsia="宋体" w:cs="Calibri"/>
      <w:kern w:val="2"/>
      <w:sz w:val="21"/>
      <w:szCs w:val="21"/>
      <w:lang w:val="en-US" w:eastAsia="zh-CN" w:bidi="ar-SA"/>
    </w:rPr>
  </w:style>
  <w:style w:type="character" w:customStyle="1" w:styleId="30">
    <w:name w:val="标题 3 Char"/>
    <w:link w:val="5"/>
    <w:qFormat/>
    <w:uiPriority w:val="0"/>
    <w:rPr>
      <w:rFonts w:ascii="仿宋_GB2312" w:eastAsia="仿宋_GB2312" w:cs="MingLiU"/>
      <w:b/>
      <w:kern w:val="2"/>
      <w:sz w:val="24"/>
      <w:szCs w:val="28"/>
    </w:rPr>
  </w:style>
  <w:style w:type="character" w:customStyle="1" w:styleId="31">
    <w:name w:val="标题 9 Char"/>
    <w:link w:val="6"/>
    <w:semiHidden/>
    <w:qFormat/>
    <w:uiPriority w:val="0"/>
    <w:rPr>
      <w:rFonts w:ascii="Cambria" w:hAnsi="Cambria" w:eastAsia="宋体" w:cs="Times New Roman"/>
      <w:kern w:val="2"/>
      <w:sz w:val="21"/>
      <w:szCs w:val="21"/>
    </w:rPr>
  </w:style>
  <w:style w:type="character" w:customStyle="1" w:styleId="32">
    <w:name w:val="批注文字 Char"/>
    <w:link w:val="9"/>
    <w:qFormat/>
    <w:uiPriority w:val="99"/>
    <w:rPr>
      <w:kern w:val="2"/>
      <w:sz w:val="21"/>
      <w:szCs w:val="24"/>
    </w:rPr>
  </w:style>
  <w:style w:type="character" w:customStyle="1" w:styleId="33">
    <w:name w:val="正文文本缩进 2 Char"/>
    <w:link w:val="13"/>
    <w:semiHidden/>
    <w:qFormat/>
    <w:uiPriority w:val="0"/>
    <w:rPr>
      <w:kern w:val="2"/>
      <w:sz w:val="21"/>
      <w:szCs w:val="24"/>
    </w:rPr>
  </w:style>
  <w:style w:type="character" w:customStyle="1" w:styleId="34">
    <w:name w:val="页脚 Char"/>
    <w:link w:val="15"/>
    <w:qFormat/>
    <w:uiPriority w:val="99"/>
    <w:rPr>
      <w:kern w:val="2"/>
      <w:sz w:val="18"/>
      <w:szCs w:val="18"/>
    </w:rPr>
  </w:style>
  <w:style w:type="character" w:customStyle="1" w:styleId="35">
    <w:name w:val="页眉 Char"/>
    <w:link w:val="16"/>
    <w:qFormat/>
    <w:uiPriority w:val="99"/>
    <w:rPr>
      <w:kern w:val="2"/>
      <w:sz w:val="18"/>
      <w:szCs w:val="18"/>
    </w:rPr>
  </w:style>
  <w:style w:type="character" w:customStyle="1" w:styleId="36">
    <w:name w:val="标题 Char"/>
    <w:link w:val="20"/>
    <w:qFormat/>
    <w:uiPriority w:val="0"/>
    <w:rPr>
      <w:rFonts w:ascii="Cambria" w:hAnsi="Cambria" w:cs="Times New Roman"/>
      <w:b/>
      <w:bCs/>
      <w:kern w:val="2"/>
      <w:sz w:val="32"/>
      <w:szCs w:val="32"/>
    </w:rPr>
  </w:style>
  <w:style w:type="character" w:customStyle="1" w:styleId="37">
    <w:name w:val="批注主题 Char"/>
    <w:link w:val="21"/>
    <w:qFormat/>
    <w:uiPriority w:val="0"/>
    <w:rPr>
      <w:b/>
      <w:bCs/>
      <w:kern w:val="2"/>
      <w:sz w:val="21"/>
      <w:szCs w:val="24"/>
    </w:rPr>
  </w:style>
  <w:style w:type="character" w:customStyle="1" w:styleId="38">
    <w:name w:val="纯文本 Char"/>
    <w:qFormat/>
    <w:uiPriority w:val="0"/>
    <w:rPr>
      <w:rFonts w:ascii="宋体" w:hAnsi="Courier New" w:eastAsia="宋体"/>
      <w:kern w:val="2"/>
      <w:sz w:val="21"/>
      <w:lang w:val="en-US" w:eastAsia="zh-CN" w:bidi="ar-SA"/>
    </w:rPr>
  </w:style>
  <w:style w:type="character" w:customStyle="1" w:styleId="39">
    <w:name w:val="1 Char Char"/>
    <w:link w:val="40"/>
    <w:qFormat/>
    <w:uiPriority w:val="0"/>
    <w:rPr>
      <w:rFonts w:ascii="宋体" w:hAnsi="Courier New"/>
      <w:kern w:val="2"/>
      <w:sz w:val="21"/>
    </w:rPr>
  </w:style>
  <w:style w:type="paragraph" w:customStyle="1" w:styleId="40">
    <w:name w:val="1"/>
    <w:basedOn w:val="1"/>
    <w:next w:val="11"/>
    <w:link w:val="39"/>
    <w:qFormat/>
    <w:uiPriority w:val="0"/>
    <w:rPr>
      <w:rFonts w:ascii="宋体" w:hAnsi="Courier New"/>
      <w:szCs w:val="20"/>
    </w:rPr>
  </w:style>
  <w:style w:type="character" w:customStyle="1" w:styleId="41">
    <w:name w:val="Char Char9"/>
    <w:qFormat/>
    <w:uiPriority w:val="0"/>
    <w:rPr>
      <w:rFonts w:ascii="仿宋_GB2312" w:eastAsia="仿宋_GB2312" w:cs="MingLiU"/>
      <w:b/>
      <w:sz w:val="24"/>
      <w:szCs w:val="28"/>
      <w:lang w:val="en-US" w:eastAsia="zh-CN" w:bidi="ar-SA"/>
    </w:rPr>
  </w:style>
  <w:style w:type="character" w:customStyle="1" w:styleId="42">
    <w:name w:val="标题 Char1"/>
    <w:qFormat/>
    <w:uiPriority w:val="10"/>
    <w:rPr>
      <w:rFonts w:ascii="Cambria" w:hAnsi="Cambria" w:cs="Times New Roman"/>
      <w:b/>
      <w:bCs/>
      <w:kern w:val="2"/>
      <w:sz w:val="32"/>
      <w:szCs w:val="32"/>
    </w:rPr>
  </w:style>
  <w:style w:type="paragraph" w:customStyle="1" w:styleId="43">
    <w:name w:val="Char Char 字元"/>
    <w:basedOn w:val="8"/>
    <w:qFormat/>
    <w:uiPriority w:val="0"/>
    <w:rPr>
      <w:szCs w:val="20"/>
    </w:rPr>
  </w:style>
  <w:style w:type="paragraph" w:customStyle="1" w:styleId="44">
    <w:name w:val="Char"/>
    <w:basedOn w:val="1"/>
    <w:qFormat/>
    <w:uiPriority w:val="0"/>
    <w:rPr>
      <w:szCs w:val="20"/>
    </w:rPr>
  </w:style>
  <w:style w:type="paragraph" w:customStyle="1" w:styleId="4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46">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47">
    <w:name w:val="楷体粗正文文字"/>
    <w:basedOn w:val="1"/>
    <w:next w:val="18"/>
    <w:qFormat/>
    <w:uiPriority w:val="0"/>
    <w:pPr>
      <w:snapToGrid w:val="0"/>
      <w:spacing w:line="480" w:lineRule="exact"/>
      <w:ind w:firstLine="560"/>
    </w:pPr>
    <w:rPr>
      <w:sz w:val="28"/>
    </w:rPr>
  </w:style>
  <w:style w:type="paragraph" w:styleId="48">
    <w:name w:val="List Paragraph"/>
    <w:basedOn w:val="1"/>
    <w:qFormat/>
    <w:uiPriority w:val="34"/>
    <w:pPr>
      <w:ind w:firstLine="420" w:firstLineChars="200"/>
    </w:pPr>
    <w:rPr>
      <w:rFonts w:ascii="Calibri" w:hAnsi="Calibri"/>
      <w:szCs w:val="22"/>
    </w:rPr>
  </w:style>
  <w:style w:type="paragraph" w:customStyle="1" w:styleId="49">
    <w:name w:val="Char Char Char Char Char Char"/>
    <w:basedOn w:val="1"/>
    <w:qFormat/>
    <w:uiPriority w:val="0"/>
    <w:rPr>
      <w:szCs w:val="20"/>
    </w:rPr>
  </w:style>
  <w:style w:type="paragraph" w:customStyle="1" w:styleId="50">
    <w:name w:val="Char Char Char Char"/>
    <w:basedOn w:val="1"/>
    <w:qFormat/>
    <w:uiPriority w:val="0"/>
    <w:pPr>
      <w:jc w:val="center"/>
    </w:pPr>
    <w:rPr>
      <w:rFonts w:ascii="仿宋_GB2312" w:eastAsia="仿宋_GB2312"/>
      <w:b/>
      <w:sz w:val="32"/>
      <w:szCs w:val="32"/>
    </w:rPr>
  </w:style>
  <w:style w:type="paragraph" w:customStyle="1" w:styleId="51">
    <w:name w:val="批注框文本[858D7CFB-ED40-4347-BF05-701D383B685F][858D7CFB-ED40-4347-BF05-701D383B685F]"/>
    <w:basedOn w:val="1"/>
    <w:qFormat/>
    <w:uiPriority w:val="0"/>
    <w:rPr>
      <w:sz w:val="18"/>
      <w:szCs w:val="18"/>
    </w:rPr>
  </w:style>
  <w:style w:type="paragraph" w:customStyle="1" w:styleId="52">
    <w:name w:val="批注主题[858D7CFB-ED40-4347-BF05-701D383B685F][858D7CFB-ED40-4347-BF05-701D383B685F]"/>
    <w:basedOn w:val="9"/>
    <w:next w:val="9"/>
    <w:qFormat/>
    <w:uiPriority w:val="0"/>
    <w:rPr>
      <w:b/>
      <w:bCs/>
    </w:rPr>
  </w:style>
  <w:style w:type="paragraph" w:customStyle="1" w:styleId="53">
    <w:name w:val="缺省文本"/>
    <w:basedOn w:val="1"/>
    <w:qFormat/>
    <w:uiPriority w:val="0"/>
    <w:pPr>
      <w:autoSpaceDE w:val="0"/>
      <w:autoSpaceDN w:val="0"/>
      <w:adjustRightInd w:val="0"/>
      <w:spacing w:before="20" w:after="20" w:line="400" w:lineRule="exact"/>
      <w:ind w:firstLine="504"/>
      <w:jc w:val="left"/>
      <w:textAlignment w:val="baseline"/>
    </w:pPr>
    <w:rPr>
      <w:rFonts w:ascii="宋体" w:hAnsi="Tms Rmn"/>
      <w:kern w:val="0"/>
      <w:sz w:val="24"/>
      <w:szCs w:val="20"/>
    </w:rPr>
  </w:style>
  <w:style w:type="paragraph" w:customStyle="1" w:styleId="54">
    <w:name w:val="列出段落1"/>
    <w:basedOn w:val="1"/>
    <w:qFormat/>
    <w:uiPriority w:val="34"/>
    <w:pPr>
      <w:ind w:firstLine="420" w:firstLineChars="200"/>
    </w:pPr>
  </w:style>
  <w:style w:type="paragraph" w:customStyle="1" w:styleId="55">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tt</Company>
  <Pages>33</Pages>
  <Words>2511</Words>
  <Characters>14319</Characters>
  <Lines>119</Lines>
  <Paragraphs>33</Paragraphs>
  <TotalTime>3</TotalTime>
  <ScaleCrop>false</ScaleCrop>
  <LinksUpToDate>false</LinksUpToDate>
  <CharactersWithSpaces>16797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2019-10-25T01:10:00Z</dcterms:created>
  <dc:creator>yl</dc:creator>
  <cp:lastModifiedBy>陈郸帆</cp:lastModifiedBy>
  <cp:lastPrinted>2024-03-19T06:43:00Z</cp:lastPrinted>
  <dcterms:modified xsi:type="dcterms:W3CDTF">2024-03-21T10:55:08Z</dcterms:modified>
  <dc:title>竞 争 性 谈 判 文 件</dc:title>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5E06EBC212534906B3867B7E51B262FF</vt:lpwstr>
  </property>
</Properties>
</file>